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E517" w14:textId="6821C2A3" w:rsidR="001C32CF" w:rsidRPr="00093EBB" w:rsidRDefault="0083512D" w:rsidP="000B3766">
      <w:pPr>
        <w:spacing w:before="100" w:beforeAutospacing="1" w:after="100" w:afterAutospacing="1" w:line="312" w:lineRule="auto"/>
        <w:jc w:val="both"/>
        <w:rPr>
          <w:b/>
          <w:i/>
          <w:sz w:val="26"/>
          <w:szCs w:val="26"/>
        </w:rPr>
      </w:pPr>
      <w:r w:rsidRPr="00093EBB">
        <w:rPr>
          <w:b/>
          <w:i/>
          <w:sz w:val="26"/>
          <w:szCs w:val="26"/>
        </w:rPr>
        <w:t>Bàn về c</w:t>
      </w:r>
      <w:r w:rsidR="005D5B23" w:rsidRPr="00093EBB">
        <w:rPr>
          <w:b/>
          <w:i/>
          <w:sz w:val="26"/>
          <w:szCs w:val="26"/>
        </w:rPr>
        <w:t xml:space="preserve">hính sách tài khóa </w:t>
      </w:r>
      <w:r w:rsidR="00BA775E" w:rsidRPr="00093EBB">
        <w:rPr>
          <w:b/>
          <w:i/>
          <w:sz w:val="26"/>
          <w:szCs w:val="26"/>
        </w:rPr>
        <w:t>tạo động lực cho tăng trưởng</w:t>
      </w:r>
      <w:r w:rsidR="005D5B23" w:rsidRPr="00093EBB">
        <w:rPr>
          <w:b/>
          <w:i/>
          <w:sz w:val="26"/>
          <w:szCs w:val="26"/>
        </w:rPr>
        <w:t xml:space="preserve"> kinh tế</w:t>
      </w:r>
      <w:r w:rsidR="009E7346" w:rsidRPr="00093EBB">
        <w:rPr>
          <w:b/>
          <w:i/>
          <w:sz w:val="26"/>
          <w:szCs w:val="26"/>
        </w:rPr>
        <w:t xml:space="preserve"> : nhìn lại</w:t>
      </w:r>
      <w:r w:rsidR="005D5B23" w:rsidRPr="00093EBB">
        <w:rPr>
          <w:b/>
          <w:i/>
          <w:sz w:val="26"/>
          <w:szCs w:val="26"/>
        </w:rPr>
        <w:t xml:space="preserve"> giai đoạn 20</w:t>
      </w:r>
      <w:r w:rsidR="00E94B91" w:rsidRPr="00093EBB">
        <w:rPr>
          <w:b/>
          <w:i/>
          <w:sz w:val="26"/>
          <w:szCs w:val="26"/>
        </w:rPr>
        <w:t>2</w:t>
      </w:r>
      <w:r w:rsidR="009E7346" w:rsidRPr="00093EBB">
        <w:rPr>
          <w:b/>
          <w:i/>
          <w:sz w:val="26"/>
          <w:szCs w:val="26"/>
        </w:rPr>
        <w:t>1</w:t>
      </w:r>
      <w:r w:rsidR="00E94B91" w:rsidRPr="00093EBB">
        <w:rPr>
          <w:b/>
          <w:i/>
          <w:sz w:val="26"/>
          <w:szCs w:val="26"/>
        </w:rPr>
        <w:t>-202</w:t>
      </w:r>
      <w:r w:rsidR="009E7346" w:rsidRPr="00093EBB">
        <w:rPr>
          <w:b/>
          <w:i/>
          <w:sz w:val="26"/>
          <w:szCs w:val="26"/>
        </w:rPr>
        <w:t>3 và gợi ý cho 2024-2025</w:t>
      </w:r>
      <w:r w:rsidR="005D5B23" w:rsidRPr="00093EBB">
        <w:rPr>
          <w:b/>
          <w:i/>
          <w:sz w:val="26"/>
          <w:szCs w:val="26"/>
        </w:rPr>
        <w:t xml:space="preserve"> </w:t>
      </w:r>
    </w:p>
    <w:p w14:paraId="56807613" w14:textId="77777777" w:rsidR="00C35A82" w:rsidRPr="00093EBB" w:rsidRDefault="009322E2" w:rsidP="000B3766">
      <w:pPr>
        <w:spacing w:before="100" w:beforeAutospacing="1" w:after="100" w:afterAutospacing="1" w:line="312" w:lineRule="auto"/>
        <w:jc w:val="both"/>
        <w:rPr>
          <w:sz w:val="26"/>
          <w:szCs w:val="26"/>
        </w:rPr>
      </w:pPr>
      <w:r w:rsidRPr="00093EBB">
        <w:rPr>
          <w:sz w:val="26"/>
          <w:szCs w:val="26"/>
        </w:rPr>
        <w:tab/>
      </w:r>
      <w:r w:rsidRPr="00093EBB">
        <w:rPr>
          <w:sz w:val="26"/>
          <w:szCs w:val="26"/>
        </w:rPr>
        <w:tab/>
      </w:r>
      <w:r w:rsidRPr="00093EBB">
        <w:rPr>
          <w:sz w:val="26"/>
          <w:szCs w:val="26"/>
        </w:rPr>
        <w:tab/>
      </w:r>
      <w:r w:rsidRPr="00093EBB">
        <w:rPr>
          <w:sz w:val="26"/>
          <w:szCs w:val="26"/>
        </w:rPr>
        <w:tab/>
      </w:r>
    </w:p>
    <w:p w14:paraId="193EA520" w14:textId="528E4AD6" w:rsidR="00B86536" w:rsidRPr="00093EBB" w:rsidRDefault="003276BE" w:rsidP="000B3766">
      <w:pPr>
        <w:spacing w:before="100" w:beforeAutospacing="1" w:after="100" w:afterAutospacing="1" w:line="312" w:lineRule="auto"/>
        <w:jc w:val="right"/>
        <w:rPr>
          <w:b/>
          <w:sz w:val="26"/>
          <w:szCs w:val="26"/>
        </w:rPr>
      </w:pPr>
      <w:r w:rsidRPr="00093EBB">
        <w:rPr>
          <w:b/>
          <w:sz w:val="26"/>
          <w:szCs w:val="26"/>
        </w:rPr>
        <w:t>PGS., TS</w:t>
      </w:r>
      <w:r w:rsidR="009322E2" w:rsidRPr="00093EBB">
        <w:rPr>
          <w:b/>
          <w:sz w:val="26"/>
          <w:szCs w:val="26"/>
        </w:rPr>
        <w:t>. Vũ Sỹ Cường</w:t>
      </w:r>
      <w:r w:rsidR="009322E2" w:rsidRPr="00093EBB">
        <w:rPr>
          <w:rStyle w:val="FootnoteReference"/>
          <w:b/>
          <w:sz w:val="26"/>
          <w:szCs w:val="26"/>
        </w:rPr>
        <w:footnoteReference w:id="1"/>
      </w:r>
    </w:p>
    <w:p w14:paraId="6B29B676" w14:textId="77777777" w:rsidR="00974663" w:rsidRPr="00093EBB" w:rsidRDefault="00EA1A5F" w:rsidP="000B3766">
      <w:pPr>
        <w:spacing w:before="100" w:beforeAutospacing="1" w:after="100" w:afterAutospacing="1" w:line="312" w:lineRule="auto"/>
        <w:jc w:val="both"/>
        <w:rPr>
          <w:b/>
          <w:sz w:val="26"/>
          <w:szCs w:val="26"/>
        </w:rPr>
      </w:pPr>
      <w:r w:rsidRPr="00093EBB">
        <w:rPr>
          <w:b/>
          <w:sz w:val="26"/>
          <w:szCs w:val="26"/>
        </w:rPr>
        <w:t>Dẫn nhập</w:t>
      </w:r>
    </w:p>
    <w:p w14:paraId="36AAD3F8" w14:textId="4A878F71" w:rsidR="00C06FA1" w:rsidRPr="00093EBB" w:rsidRDefault="00415208" w:rsidP="000B3766">
      <w:pPr>
        <w:pStyle w:val="Normal1"/>
        <w:spacing w:line="312" w:lineRule="auto"/>
        <w:jc w:val="both"/>
        <w:rPr>
          <w:sz w:val="26"/>
          <w:szCs w:val="26"/>
          <w:lang w:val="de-DE"/>
        </w:rPr>
      </w:pPr>
      <w:r w:rsidRPr="00093EBB">
        <w:rPr>
          <w:sz w:val="26"/>
          <w:szCs w:val="26"/>
        </w:rPr>
        <w:tab/>
      </w:r>
      <w:r w:rsidR="00734D51" w:rsidRPr="00093EBB">
        <w:rPr>
          <w:sz w:val="26"/>
          <w:szCs w:val="26"/>
        </w:rPr>
        <w:t>Sau khi khống chế được tạm thời dịch bệnh Covid vào cuối năm 2020, n</w:t>
      </w:r>
      <w:r w:rsidRPr="00093EBB">
        <w:rPr>
          <w:sz w:val="26"/>
          <w:szCs w:val="26"/>
        </w:rPr>
        <w:t xml:space="preserve">ền kinh tế Việt nam bước vào năm </w:t>
      </w:r>
      <w:r w:rsidR="00CC6014" w:rsidRPr="00093EBB">
        <w:rPr>
          <w:sz w:val="26"/>
          <w:szCs w:val="26"/>
        </w:rPr>
        <w:t>202</w:t>
      </w:r>
      <w:r w:rsidR="00734D51" w:rsidRPr="00093EBB">
        <w:rPr>
          <w:sz w:val="26"/>
          <w:szCs w:val="26"/>
        </w:rPr>
        <w:t>1, giai đoạn đầu của thời kỳ 5 năm 2021-2025</w:t>
      </w:r>
      <w:r w:rsidR="00CC6014" w:rsidRPr="00093EBB">
        <w:rPr>
          <w:sz w:val="26"/>
          <w:szCs w:val="26"/>
        </w:rPr>
        <w:t xml:space="preserve"> với những kỳ vọng tiếp tục phát triển mạnh mẽ. </w:t>
      </w:r>
      <w:r w:rsidR="00BC5F77" w:rsidRPr="00093EBB">
        <w:rPr>
          <w:sz w:val="26"/>
          <w:szCs w:val="26"/>
        </w:rPr>
        <w:t xml:space="preserve">Những thách thức cũ chưa qua thì những thách thức mới đã tới với </w:t>
      </w:r>
      <w:r w:rsidR="00E9218D" w:rsidRPr="00093EBB">
        <w:rPr>
          <w:sz w:val="26"/>
          <w:szCs w:val="26"/>
          <w:lang w:val="de-DE"/>
        </w:rPr>
        <w:t xml:space="preserve">năm 2022 </w:t>
      </w:r>
      <w:r w:rsidR="00BC5F77" w:rsidRPr="00093EBB">
        <w:rPr>
          <w:sz w:val="26"/>
          <w:szCs w:val="26"/>
          <w:lang w:val="de-DE"/>
        </w:rPr>
        <w:t xml:space="preserve">như </w:t>
      </w:r>
      <w:r w:rsidR="00E9218D" w:rsidRPr="00093EBB">
        <w:rPr>
          <w:sz w:val="26"/>
          <w:szCs w:val="26"/>
          <w:lang w:val="de-DE"/>
        </w:rPr>
        <w:t xml:space="preserve"> xung đột Nga – Ucraina</w:t>
      </w:r>
      <w:r w:rsidR="00BC5F77" w:rsidRPr="00093EBB">
        <w:rPr>
          <w:sz w:val="26"/>
          <w:szCs w:val="26"/>
          <w:lang w:val="de-DE"/>
        </w:rPr>
        <w:t xml:space="preserve">, </w:t>
      </w:r>
      <w:r w:rsidR="00EA6A86" w:rsidRPr="00093EBB">
        <w:rPr>
          <w:sz w:val="26"/>
          <w:szCs w:val="26"/>
          <w:lang w:val="de-DE"/>
        </w:rPr>
        <w:t>giãn cách</w:t>
      </w:r>
      <w:r w:rsidR="00BC5F77" w:rsidRPr="00093EBB">
        <w:rPr>
          <w:sz w:val="26"/>
          <w:szCs w:val="26"/>
          <w:lang w:val="de-DE"/>
        </w:rPr>
        <w:t xml:space="preserve"> do Covid </w:t>
      </w:r>
      <w:r w:rsidR="00EA6A86" w:rsidRPr="00093EBB">
        <w:rPr>
          <w:sz w:val="26"/>
          <w:szCs w:val="26"/>
          <w:lang w:val="de-DE"/>
        </w:rPr>
        <w:t>ở</w:t>
      </w:r>
      <w:r w:rsidR="00BC5F77" w:rsidRPr="00093EBB">
        <w:rPr>
          <w:sz w:val="26"/>
          <w:szCs w:val="26"/>
          <w:lang w:val="de-DE"/>
        </w:rPr>
        <w:t xml:space="preserve"> Trung Quốc</w:t>
      </w:r>
      <w:r w:rsidR="00E9218D" w:rsidRPr="00093EBB">
        <w:rPr>
          <w:sz w:val="26"/>
          <w:szCs w:val="26"/>
          <w:lang w:val="de-DE"/>
        </w:rPr>
        <w:t xml:space="preserve"> và bóng ma lạm phát cao trên toàn cầu. </w:t>
      </w:r>
      <w:r w:rsidR="00BC6A61" w:rsidRPr="00093EBB">
        <w:rPr>
          <w:sz w:val="26"/>
          <w:szCs w:val="26"/>
          <w:lang w:val="de-DE"/>
        </w:rPr>
        <w:t>Những khó khăn của Covid -19</w:t>
      </w:r>
      <w:r w:rsidR="00E9218D" w:rsidRPr="00093EBB">
        <w:rPr>
          <w:sz w:val="26"/>
          <w:szCs w:val="26"/>
          <w:lang w:val="de-DE"/>
        </w:rPr>
        <w:t xml:space="preserve"> và tình hình chính trị thế giới</w:t>
      </w:r>
      <w:r w:rsidR="00BC6A61" w:rsidRPr="00093EBB">
        <w:rPr>
          <w:sz w:val="26"/>
          <w:szCs w:val="26"/>
          <w:lang w:val="de-DE"/>
        </w:rPr>
        <w:t xml:space="preserve"> đã ảnh hưởng không nhỏ đến kinh tế </w:t>
      </w:r>
      <w:r w:rsidR="00E9218D" w:rsidRPr="00093EBB">
        <w:rPr>
          <w:sz w:val="26"/>
          <w:szCs w:val="26"/>
          <w:lang w:val="de-DE"/>
        </w:rPr>
        <w:t xml:space="preserve">Việt nam </w:t>
      </w:r>
      <w:r w:rsidR="00BC6A61" w:rsidRPr="00093EBB">
        <w:rPr>
          <w:sz w:val="26"/>
          <w:szCs w:val="26"/>
          <w:lang w:val="de-DE"/>
        </w:rPr>
        <w:t>năm</w:t>
      </w:r>
      <w:r w:rsidR="00BA775E" w:rsidRPr="00093EBB">
        <w:rPr>
          <w:sz w:val="26"/>
          <w:szCs w:val="26"/>
          <w:lang w:val="de-DE"/>
        </w:rPr>
        <w:t xml:space="preserve"> 2023 và giai đoạn 2023-2025</w:t>
      </w:r>
      <w:r w:rsidR="00BC6A61" w:rsidRPr="00093EBB">
        <w:rPr>
          <w:sz w:val="26"/>
          <w:szCs w:val="26"/>
          <w:lang w:val="de-DE"/>
        </w:rPr>
        <w:t xml:space="preserve">. </w:t>
      </w:r>
      <w:r w:rsidR="00E066AD" w:rsidRPr="00093EBB">
        <w:rPr>
          <w:sz w:val="26"/>
          <w:szCs w:val="26"/>
          <w:lang w:val="de-DE"/>
        </w:rPr>
        <w:t xml:space="preserve">Trong bài viết, </w:t>
      </w:r>
      <w:r w:rsidR="00D230CD" w:rsidRPr="00093EBB">
        <w:rPr>
          <w:sz w:val="26"/>
          <w:szCs w:val="26"/>
          <w:lang w:val="de-DE"/>
        </w:rPr>
        <w:t xml:space="preserve">ngoài mở đầu và kết luận, </w:t>
      </w:r>
      <w:r w:rsidR="00B25C56" w:rsidRPr="00093EBB">
        <w:rPr>
          <w:sz w:val="26"/>
          <w:szCs w:val="26"/>
          <w:lang w:val="de-DE"/>
        </w:rPr>
        <w:t xml:space="preserve">phần </w:t>
      </w:r>
      <w:r w:rsidR="00D230CD" w:rsidRPr="00093EBB">
        <w:rPr>
          <w:sz w:val="26"/>
          <w:szCs w:val="26"/>
          <w:lang w:val="de-DE"/>
        </w:rPr>
        <w:t>một</w:t>
      </w:r>
      <w:r w:rsidR="00B25C56" w:rsidRPr="00093EBB">
        <w:rPr>
          <w:sz w:val="26"/>
          <w:szCs w:val="26"/>
          <w:lang w:val="de-DE"/>
        </w:rPr>
        <w:t xml:space="preserve"> sẽ là những đánh giá khái quát về </w:t>
      </w:r>
      <w:r w:rsidR="00964FBA" w:rsidRPr="00093EBB">
        <w:rPr>
          <w:sz w:val="26"/>
          <w:szCs w:val="26"/>
          <w:lang w:val="de-DE"/>
        </w:rPr>
        <w:t xml:space="preserve">chính sách tài khóa </w:t>
      </w:r>
      <w:r w:rsidR="00BA775E" w:rsidRPr="00093EBB">
        <w:rPr>
          <w:sz w:val="26"/>
          <w:szCs w:val="26"/>
          <w:lang w:val="de-DE"/>
        </w:rPr>
        <w:t>những năm gần đây</w:t>
      </w:r>
      <w:r w:rsidR="00EB29A1" w:rsidRPr="00093EBB">
        <w:rPr>
          <w:sz w:val="26"/>
          <w:szCs w:val="26"/>
          <w:lang w:val="de-DE"/>
        </w:rPr>
        <w:t xml:space="preserve">, </w:t>
      </w:r>
      <w:r w:rsidR="00B25C56" w:rsidRPr="00093EBB">
        <w:rPr>
          <w:sz w:val="26"/>
          <w:szCs w:val="26"/>
          <w:lang w:val="de-DE"/>
        </w:rPr>
        <w:t xml:space="preserve"> phần 2 là </w:t>
      </w:r>
      <w:r w:rsidR="00E066AD" w:rsidRPr="00093EBB">
        <w:rPr>
          <w:sz w:val="26"/>
          <w:szCs w:val="26"/>
          <w:lang w:val="de-DE"/>
        </w:rPr>
        <w:t>những</w:t>
      </w:r>
      <w:r w:rsidR="00EB29A1" w:rsidRPr="00093EBB">
        <w:rPr>
          <w:sz w:val="26"/>
          <w:szCs w:val="26"/>
          <w:lang w:val="de-DE"/>
        </w:rPr>
        <w:t xml:space="preserve"> thách thức đặt ra cho năm 202</w:t>
      </w:r>
      <w:r w:rsidR="00964FBA" w:rsidRPr="00093EBB">
        <w:rPr>
          <w:sz w:val="26"/>
          <w:szCs w:val="26"/>
          <w:lang w:val="de-DE"/>
        </w:rPr>
        <w:t>3</w:t>
      </w:r>
      <w:r w:rsidR="00EB29A1" w:rsidRPr="00093EBB">
        <w:rPr>
          <w:sz w:val="26"/>
          <w:szCs w:val="26"/>
          <w:lang w:val="de-DE"/>
        </w:rPr>
        <w:t xml:space="preserve"> và phần 3 là </w:t>
      </w:r>
      <w:r w:rsidR="00964FBA" w:rsidRPr="00093EBB">
        <w:rPr>
          <w:sz w:val="26"/>
          <w:szCs w:val="26"/>
          <w:lang w:val="de-DE"/>
        </w:rPr>
        <w:t xml:space="preserve">một số giải pháp chính sách cho năm </w:t>
      </w:r>
      <w:r w:rsidR="00BA775E" w:rsidRPr="00093EBB">
        <w:rPr>
          <w:sz w:val="26"/>
          <w:szCs w:val="26"/>
          <w:lang w:val="de-DE"/>
        </w:rPr>
        <w:t>2024 -2025 và trong trung hạn đến 2030</w:t>
      </w:r>
      <w:r w:rsidR="00964FBA" w:rsidRPr="00093EBB">
        <w:rPr>
          <w:sz w:val="26"/>
          <w:szCs w:val="26"/>
          <w:lang w:val="de-DE"/>
        </w:rPr>
        <w:t xml:space="preserve">. </w:t>
      </w:r>
    </w:p>
    <w:p w14:paraId="5C6FEA21" w14:textId="651DF6AF" w:rsidR="006F1733" w:rsidRPr="00093EBB" w:rsidRDefault="00E066AD" w:rsidP="000B3766">
      <w:pPr>
        <w:pStyle w:val="Normal1"/>
        <w:spacing w:line="312" w:lineRule="auto"/>
        <w:jc w:val="both"/>
        <w:rPr>
          <w:b/>
          <w:sz w:val="26"/>
          <w:szCs w:val="26"/>
          <w:lang w:val="de-DE"/>
        </w:rPr>
      </w:pPr>
      <w:r w:rsidRPr="00093EBB">
        <w:rPr>
          <w:b/>
          <w:spacing w:val="2"/>
          <w:sz w:val="26"/>
          <w:szCs w:val="26"/>
          <w:shd w:val="clear" w:color="auto" w:fill="FFFFFF"/>
          <w:lang w:val="de-DE"/>
        </w:rPr>
        <w:t xml:space="preserve">1. </w:t>
      </w:r>
      <w:r w:rsidR="00914C5F" w:rsidRPr="00093EBB">
        <w:rPr>
          <w:b/>
          <w:spacing w:val="2"/>
          <w:sz w:val="26"/>
          <w:szCs w:val="26"/>
          <w:shd w:val="clear" w:color="auto" w:fill="FFFFFF"/>
          <w:lang w:val="de-DE"/>
        </w:rPr>
        <w:t xml:space="preserve">Khái quát về </w:t>
      </w:r>
      <w:r w:rsidR="00964FBA" w:rsidRPr="00093EBB">
        <w:rPr>
          <w:b/>
          <w:spacing w:val="2"/>
          <w:sz w:val="26"/>
          <w:szCs w:val="26"/>
          <w:shd w:val="clear" w:color="auto" w:fill="FFFFFF"/>
          <w:lang w:val="de-DE"/>
        </w:rPr>
        <w:t>chính sách tài khóa 2022</w:t>
      </w:r>
      <w:r w:rsidR="00BA775E" w:rsidRPr="00093EBB">
        <w:rPr>
          <w:b/>
          <w:spacing w:val="2"/>
          <w:sz w:val="26"/>
          <w:szCs w:val="26"/>
          <w:shd w:val="clear" w:color="auto" w:fill="FFFFFF"/>
          <w:lang w:val="de-DE"/>
        </w:rPr>
        <w:t>-2023</w:t>
      </w:r>
    </w:p>
    <w:p w14:paraId="3355267B" w14:textId="77777777" w:rsidR="00E60F22" w:rsidRPr="00093EBB" w:rsidRDefault="00BA775E" w:rsidP="00BA775E">
      <w:pPr>
        <w:spacing w:before="100" w:beforeAutospacing="1" w:after="100" w:afterAutospacing="1" w:line="312" w:lineRule="auto"/>
        <w:ind w:firstLine="720"/>
        <w:jc w:val="both"/>
        <w:rPr>
          <w:sz w:val="26"/>
          <w:szCs w:val="26"/>
          <w:lang w:val="de-DE"/>
        </w:rPr>
      </w:pPr>
      <w:r w:rsidRPr="00093EBB">
        <w:rPr>
          <w:sz w:val="26"/>
          <w:szCs w:val="26"/>
          <w:lang w:val="de-DE"/>
        </w:rPr>
        <w:t xml:space="preserve">Do ảnh hưởng của dịch bệnh và tình hình kinh tế, chính trị thế giới, </w:t>
      </w:r>
      <w:r w:rsidR="00E60F22" w:rsidRPr="00093EBB">
        <w:rPr>
          <w:sz w:val="26"/>
          <w:szCs w:val="26"/>
          <w:lang w:val="de-DE"/>
        </w:rPr>
        <w:t xml:space="preserve">là quốc gia có độ mở của nền kinh tế rất cao nên </w:t>
      </w:r>
      <w:r w:rsidRPr="00093EBB">
        <w:rPr>
          <w:sz w:val="26"/>
          <w:szCs w:val="26"/>
          <w:lang w:val="de-DE"/>
        </w:rPr>
        <w:t xml:space="preserve">Việt nam đứng trước </w:t>
      </w:r>
      <w:r w:rsidR="00E60F22" w:rsidRPr="00093EBB">
        <w:rPr>
          <w:sz w:val="26"/>
          <w:szCs w:val="26"/>
          <w:lang w:val="de-DE"/>
        </w:rPr>
        <w:t xml:space="preserve">nhiều thách thức với tăng trưởng kinh tế. </w:t>
      </w:r>
    </w:p>
    <w:p w14:paraId="0C0C5240" w14:textId="623556F0" w:rsidR="00BA775E" w:rsidRPr="00BA775E" w:rsidRDefault="000C3747" w:rsidP="00BA775E">
      <w:pPr>
        <w:spacing w:before="100" w:beforeAutospacing="1" w:after="100" w:afterAutospacing="1" w:line="312" w:lineRule="auto"/>
        <w:ind w:firstLine="720"/>
        <w:jc w:val="both"/>
        <w:rPr>
          <w:sz w:val="26"/>
          <w:szCs w:val="26"/>
          <w:lang w:val="de-DE"/>
        </w:rPr>
      </w:pPr>
      <w:r w:rsidRPr="00093EBB">
        <w:rPr>
          <w:sz w:val="26"/>
          <w:szCs w:val="26"/>
          <w:lang w:val="de-DE"/>
        </w:rPr>
        <w:t xml:space="preserve">Nhằm ứng phó với khủng hoảng do dịch bệnh, ngay từ năm </w:t>
      </w:r>
      <w:r w:rsidR="00964FBA" w:rsidRPr="00093EBB">
        <w:rPr>
          <w:sz w:val="26"/>
          <w:szCs w:val="26"/>
          <w:lang w:val="de-DE"/>
        </w:rPr>
        <w:t>2021</w:t>
      </w:r>
      <w:r w:rsidRPr="00093EBB">
        <w:rPr>
          <w:sz w:val="26"/>
          <w:szCs w:val="26"/>
          <w:lang w:val="de-DE"/>
        </w:rPr>
        <w:t>, Việt nam cũng đã thực hiện nhiều chính sách tài khóa hỗ trợ người dân và doanh nghiệp. Năm 2022 được bắt đầu với</w:t>
      </w:r>
      <w:r w:rsidR="00FC70BD" w:rsidRPr="00093EBB">
        <w:rPr>
          <w:sz w:val="26"/>
          <w:szCs w:val="26"/>
          <w:lang w:val="de-DE"/>
        </w:rPr>
        <w:t xml:space="preserve"> việc Quốc hội ban hành Nghị quyết 43/2022/QH15 với</w:t>
      </w:r>
      <w:r w:rsidRPr="00093EBB">
        <w:rPr>
          <w:sz w:val="26"/>
          <w:szCs w:val="26"/>
          <w:lang w:val="de-DE"/>
        </w:rPr>
        <w:t xml:space="preserve"> hàng loạt các</w:t>
      </w:r>
      <w:r w:rsidR="00FC70BD" w:rsidRPr="00093EBB">
        <w:rPr>
          <w:sz w:val="26"/>
          <w:szCs w:val="26"/>
          <w:lang w:val="de-DE"/>
        </w:rPr>
        <w:t xml:space="preserve"> gói hỗ trợ tài khóa và tiền tệ. </w:t>
      </w:r>
      <w:r w:rsidR="00BA775E" w:rsidRPr="00093EBB">
        <w:rPr>
          <w:sz w:val="26"/>
          <w:szCs w:val="26"/>
          <w:lang w:val="de-DE"/>
        </w:rPr>
        <w:t>T</w:t>
      </w:r>
      <w:r w:rsidR="00BA775E" w:rsidRPr="00BA775E">
        <w:rPr>
          <w:sz w:val="26"/>
          <w:szCs w:val="26"/>
          <w:lang w:val="de-DE"/>
        </w:rPr>
        <w:t>trong 3 năm 2020-2022, các giải pháp về gia hạn, miễn, giảm các khoản thuế, phí, lệ phí và tiền thuê đất giúp hỗ trợ doanh nghiệp, người dân khoảng 507 nghìn tỷ đồng, góp phần tích cực trong phục hồi và phát triển kinh tế - xã hội...</w:t>
      </w:r>
      <w:r w:rsidR="00BA775E" w:rsidRPr="00093EBB">
        <w:rPr>
          <w:sz w:val="26"/>
          <w:szCs w:val="26"/>
          <w:lang w:val="de-DE"/>
        </w:rPr>
        <w:t>Hàng loạt các giải pháp về chính sách tài khóa như</w:t>
      </w:r>
      <w:r w:rsidR="00BA775E" w:rsidRPr="00BA775E">
        <w:rPr>
          <w:sz w:val="26"/>
          <w:szCs w:val="26"/>
          <w:lang w:val="de-DE"/>
        </w:rPr>
        <w:t xml:space="preserve"> gia hạn, miễn, giảm các khoản thuế, phí, lệ phí và tiền thuê đất, gia hạn các khoản thuế như: thuế VAT, thuế thu nhập doanh nghiệp, thuế thu nhập cá nhân, thuế tiêu thụ đặc biệt; miễn, giảm các khoản thuế thu nhập doanh nghiệp, thuế thu nhập cá </w:t>
      </w:r>
      <w:r w:rsidR="00BA775E" w:rsidRPr="00BA775E">
        <w:rPr>
          <w:sz w:val="26"/>
          <w:szCs w:val="26"/>
          <w:lang w:val="de-DE"/>
        </w:rPr>
        <w:lastRenderedPageBreak/>
        <w:t>nhân, thuế VAT, thuế nhập khẩu, thuế bảo vệ môi trường, cùng nhiều khoản phí, lệ phí và tiền thuê đất để hỗ trợ doanh nghiệp, người dân và nền kinh tế.</w:t>
      </w:r>
    </w:p>
    <w:p w14:paraId="1BE3A3FC" w14:textId="4FBC17F2" w:rsidR="00FC70BD" w:rsidRPr="00093EBB" w:rsidRDefault="00FC70BD" w:rsidP="000B3766">
      <w:pPr>
        <w:pStyle w:val="Normal1"/>
        <w:spacing w:line="312" w:lineRule="auto"/>
        <w:ind w:firstLine="720"/>
        <w:jc w:val="both"/>
        <w:rPr>
          <w:sz w:val="26"/>
          <w:szCs w:val="26"/>
          <w:lang w:val="de-DE"/>
        </w:rPr>
      </w:pPr>
    </w:p>
    <w:p w14:paraId="5538BF2A" w14:textId="77777777" w:rsidR="00BA775E" w:rsidRPr="00093EBB" w:rsidRDefault="00FC70BD" w:rsidP="00200597">
      <w:pPr>
        <w:spacing w:before="100" w:beforeAutospacing="1" w:after="100" w:afterAutospacing="1" w:line="312" w:lineRule="auto"/>
        <w:ind w:firstLine="720"/>
        <w:jc w:val="both"/>
        <w:rPr>
          <w:sz w:val="26"/>
          <w:szCs w:val="26"/>
          <w:lang w:val="de-DE"/>
        </w:rPr>
      </w:pPr>
      <w:r w:rsidRPr="00093EBB">
        <w:rPr>
          <w:sz w:val="26"/>
          <w:szCs w:val="26"/>
          <w:lang w:val="de-DE"/>
        </w:rPr>
        <w:t>Thực hiện Chương trình phục hồi và phát triển kinh tế - xã hội, gói hỗ trợ tài khóa chiếm phần lớn chương trình nên nhiệm vụ của Chính phủ, nhất là Bộ Tài chính là hết sức nặng nề. Chính phủ đã ban hành nhiều chính sách, như: Nghị định số 15/2022/NĐ-CP hướng dẫn về chính sách miễn, giảm thuế theo Nghị quyết số 43/2022/QH13; Nghị định số 32/2022/NĐ-CP gia hạn thời hạn nộp thuế tiêu thụ đặc biệt đối với ô tô sản xuất hoặc lắp ráp trong nước; Nghị định số 34/2022/NĐ-CP gia hạn thời hạn nộp thuế giá trị gia tăng, thuế thu nhập doanh nghiệp, thuế thu nhập cá nhân và tiền thuê đất trong năm 2022. Ngoài ra, Chính phủ cũng đã ban hành: Nghị định số 36/2022/NĐ-CP hỗ trợ lãi suất đối với các khoản vay tại Ngân hàng Chính sách xã hội, nguồn vốn cho vay, cấp bù lãi suất và phí quản lý để Ngân hàng Chính sách xã hội cho vay, theo Nghị quyết 43/2022/QHl5; Nghị định số 148/2021/NĐ-CP quản lý, sử dụng nguồn thu từ chuyển đổi sở hữu doanh nghiệp, đơn vị sự nghiệp công lập, nguồn thu từ chuyển nhượng vốn nhà nước và chênh lệch vốn chủ sở hữu lớn hơn vốn điều lệ tại doanh.</w:t>
      </w:r>
      <w:r w:rsidR="00A13E4D" w:rsidRPr="00093EBB">
        <w:rPr>
          <w:sz w:val="26"/>
          <w:szCs w:val="26"/>
          <w:lang w:val="de-DE"/>
        </w:rPr>
        <w:t xml:space="preserve"> </w:t>
      </w:r>
    </w:p>
    <w:p w14:paraId="05D89653" w14:textId="77777777" w:rsidR="00A17A63" w:rsidRPr="00093EBB" w:rsidRDefault="00BA775E" w:rsidP="00A17A63">
      <w:pPr>
        <w:spacing w:before="100" w:beforeAutospacing="1" w:after="100" w:afterAutospacing="1" w:line="312" w:lineRule="auto"/>
        <w:ind w:firstLine="720"/>
        <w:jc w:val="both"/>
        <w:rPr>
          <w:sz w:val="26"/>
          <w:szCs w:val="26"/>
          <w:lang w:val="de-DE"/>
        </w:rPr>
      </w:pPr>
      <w:r w:rsidRPr="00093EBB">
        <w:rPr>
          <w:sz w:val="26"/>
          <w:szCs w:val="26"/>
          <w:lang w:val="de-DE"/>
        </w:rPr>
        <w:t>N</w:t>
      </w:r>
      <w:r w:rsidRPr="00093EBB">
        <w:rPr>
          <w:sz w:val="26"/>
          <w:szCs w:val="26"/>
          <w:lang w:val="de-DE"/>
        </w:rPr>
        <w:t xml:space="preserve">ăm 2023, </w:t>
      </w:r>
      <w:r w:rsidRPr="00093EBB">
        <w:rPr>
          <w:sz w:val="26"/>
          <w:szCs w:val="26"/>
          <w:lang w:val="de-DE"/>
        </w:rPr>
        <w:t xml:space="preserve">để hỗ trợ tăng trưởng tiêu dùng nội địa, </w:t>
      </w:r>
      <w:r w:rsidRPr="00093EBB">
        <w:rPr>
          <w:sz w:val="26"/>
          <w:szCs w:val="26"/>
          <w:lang w:val="de-DE"/>
        </w:rPr>
        <w:t xml:space="preserve">Quốc hội </w:t>
      </w:r>
      <w:r w:rsidRPr="00093EBB">
        <w:rPr>
          <w:sz w:val="26"/>
          <w:szCs w:val="26"/>
          <w:lang w:val="de-DE"/>
        </w:rPr>
        <w:t>tiếp tục quyết định</w:t>
      </w:r>
      <w:r w:rsidRPr="00093EBB">
        <w:rPr>
          <w:sz w:val="26"/>
          <w:szCs w:val="26"/>
          <w:lang w:val="de-DE"/>
        </w:rPr>
        <w:t xml:space="preserve"> giảm 2% mức thuế suất thuế VAT đối với tất cả các hàng hóa, dịch vụ thuộc đối tượng áp dụng thuế suất 10% (còn 8%); giảm 20% mức tỷ lệ % để tính thuế VAT đối với cơ sở kinh doanh (bao gồm cả hộ kinh doanh, cá nhân kinh doanh) khi thực hiện xuất hóa đơn đối với tất cả các hàng hóa, dịch vụ thuộc đối tượng chịu thuế VAT 10%</w:t>
      </w:r>
      <w:r w:rsidRPr="00093EBB">
        <w:rPr>
          <w:sz w:val="26"/>
          <w:szCs w:val="26"/>
          <w:lang w:val="de-DE"/>
        </w:rPr>
        <w:t xml:space="preserve">. Đồng thời, trong </w:t>
      </w:r>
      <w:r w:rsidRPr="00093EBB">
        <w:rPr>
          <w:sz w:val="26"/>
          <w:szCs w:val="26"/>
          <w:lang w:val="de-DE"/>
        </w:rPr>
        <w:t>Nghị quyết về dự toán ngân sách Nhà nước năm 2023</w:t>
      </w:r>
      <w:r w:rsidRPr="00093EBB">
        <w:rPr>
          <w:sz w:val="26"/>
          <w:szCs w:val="26"/>
          <w:lang w:val="de-DE"/>
        </w:rPr>
        <w:t xml:space="preserve">, Quốc hội đã cho phép từ </w:t>
      </w:r>
      <w:r w:rsidRPr="00093EBB">
        <w:rPr>
          <w:sz w:val="26"/>
          <w:szCs w:val="26"/>
          <w:lang w:val="de-DE"/>
        </w:rPr>
        <w:t>ngày 01 tháng 7 năm 2023 thực hiện tăng lương cơ sở cho cán bộ, công chức, viên chức lên mức 1,8 triệu đồng/tháng;</w:t>
      </w:r>
      <w:r w:rsidRPr="00093EBB">
        <w:rPr>
          <w:sz w:val="26"/>
          <w:szCs w:val="26"/>
          <w:lang w:val="de-DE"/>
        </w:rPr>
        <w:t xml:space="preserve"> </w:t>
      </w:r>
      <w:r w:rsidRPr="00093EBB">
        <w:rPr>
          <w:sz w:val="26"/>
          <w:szCs w:val="26"/>
          <w:lang w:val="de-DE"/>
        </w:rPr>
        <w:t>Tăng 12,5% lương hưu, trợ cấp bảo hiểm xã hội đối tượng do ngân sách nhà nước đảm bảo và hỗ trợ thêm đối với người nghỉ hưu trước năm 1995 có mức hưởng thấp;</w:t>
      </w:r>
      <w:r w:rsidRPr="00093EBB">
        <w:rPr>
          <w:sz w:val="26"/>
          <w:szCs w:val="26"/>
          <w:lang w:val="de-DE"/>
        </w:rPr>
        <w:t xml:space="preserve"> </w:t>
      </w:r>
      <w:r w:rsidRPr="00093EBB">
        <w:rPr>
          <w:sz w:val="26"/>
          <w:szCs w:val="26"/>
          <w:lang w:val="de-DE"/>
        </w:rPr>
        <w:t>Tăng mức chuẩn trợ cấp người có công bảo đảm không thấp hơn mức chuẩn hộ nghèo khu vực thành thị và tăng 20,8% chi các chính sách an sinh xã hội đang gắn với lương cơ sở.</w:t>
      </w:r>
    </w:p>
    <w:p w14:paraId="50A8EBF7" w14:textId="1439BB71" w:rsidR="00E60F22" w:rsidRPr="00093EBB" w:rsidRDefault="00D82B53" w:rsidP="00A17A63">
      <w:pPr>
        <w:spacing w:before="100" w:beforeAutospacing="1" w:after="100" w:afterAutospacing="1" w:line="312" w:lineRule="auto"/>
        <w:ind w:firstLine="720"/>
        <w:jc w:val="both"/>
        <w:rPr>
          <w:sz w:val="26"/>
          <w:szCs w:val="26"/>
          <w:lang w:val="de-DE"/>
        </w:rPr>
      </w:pPr>
      <w:r w:rsidRPr="00093EBB">
        <w:rPr>
          <w:b/>
          <w:sz w:val="26"/>
          <w:szCs w:val="26"/>
          <w:lang w:val="de-DE"/>
        </w:rPr>
        <w:lastRenderedPageBreak/>
        <w:t xml:space="preserve">Hình </w:t>
      </w:r>
      <w:r w:rsidR="00295B3A" w:rsidRPr="00093EBB">
        <w:rPr>
          <w:b/>
          <w:sz w:val="26"/>
          <w:szCs w:val="26"/>
          <w:lang w:val="de-DE"/>
        </w:rPr>
        <w:t>1</w:t>
      </w:r>
      <w:r w:rsidR="007E49A6" w:rsidRPr="00093EBB">
        <w:rPr>
          <w:b/>
          <w:sz w:val="26"/>
          <w:szCs w:val="26"/>
          <w:lang w:val="de-DE"/>
        </w:rPr>
        <w:t xml:space="preserve"> </w:t>
      </w:r>
      <w:r w:rsidR="00C35A82" w:rsidRPr="00093EBB">
        <w:rPr>
          <w:b/>
          <w:sz w:val="26"/>
          <w:szCs w:val="26"/>
          <w:lang w:val="de-DE"/>
        </w:rPr>
        <w:t>: Tỷ lệ thực hiện t</w:t>
      </w:r>
      <w:r w:rsidR="007E49A6" w:rsidRPr="00093EBB">
        <w:rPr>
          <w:b/>
          <w:sz w:val="26"/>
          <w:szCs w:val="26"/>
          <w:lang w:val="de-DE"/>
        </w:rPr>
        <w:t>hu ngân sách</w:t>
      </w:r>
      <w:r w:rsidR="00D70D89" w:rsidRPr="00093EBB">
        <w:rPr>
          <w:b/>
          <w:sz w:val="26"/>
          <w:szCs w:val="26"/>
          <w:lang w:val="de-DE"/>
        </w:rPr>
        <w:t xml:space="preserve"> nhà nước</w:t>
      </w:r>
      <w:r w:rsidR="007E49A6" w:rsidRPr="00093EBB">
        <w:rPr>
          <w:b/>
          <w:sz w:val="26"/>
          <w:szCs w:val="26"/>
          <w:lang w:val="de-DE"/>
        </w:rPr>
        <w:t xml:space="preserve"> so với </w:t>
      </w:r>
      <w:r w:rsidR="00E03091" w:rsidRPr="00093EBB">
        <w:rPr>
          <w:b/>
          <w:sz w:val="26"/>
          <w:szCs w:val="26"/>
          <w:lang w:val="de-DE"/>
        </w:rPr>
        <w:t>dự</w:t>
      </w:r>
      <w:r w:rsidRPr="00093EBB">
        <w:rPr>
          <w:b/>
          <w:sz w:val="26"/>
          <w:szCs w:val="26"/>
          <w:lang w:val="de-DE"/>
        </w:rPr>
        <w:t xml:space="preserve"> toán</w:t>
      </w:r>
      <w:r w:rsidR="00C35A82" w:rsidRPr="00093EBB">
        <w:rPr>
          <w:b/>
          <w:sz w:val="26"/>
          <w:szCs w:val="26"/>
          <w:lang w:val="de-DE"/>
        </w:rPr>
        <w:t xml:space="preserve"> (%)</w:t>
      </w:r>
      <w:r w:rsidRPr="00093EBB">
        <w:rPr>
          <w:b/>
          <w:sz w:val="26"/>
          <w:szCs w:val="26"/>
          <w:lang w:val="de-DE"/>
        </w:rPr>
        <w:t xml:space="preserve"> năm </w:t>
      </w:r>
      <w:r w:rsidR="00295B3A" w:rsidRPr="00093EBB">
        <w:rPr>
          <w:b/>
          <w:sz w:val="26"/>
          <w:szCs w:val="26"/>
          <w:lang w:val="de-DE"/>
        </w:rPr>
        <w:t>200</w:t>
      </w:r>
      <w:r w:rsidR="00612564" w:rsidRPr="00093EBB">
        <w:rPr>
          <w:b/>
          <w:sz w:val="26"/>
          <w:szCs w:val="26"/>
          <w:lang w:val="de-DE"/>
        </w:rPr>
        <w:t>6</w:t>
      </w:r>
      <w:r w:rsidR="009466F1" w:rsidRPr="00093EBB">
        <w:rPr>
          <w:b/>
          <w:sz w:val="26"/>
          <w:szCs w:val="26"/>
          <w:lang w:val="de-DE"/>
        </w:rPr>
        <w:t>-202</w:t>
      </w:r>
      <w:r w:rsidR="00573B61" w:rsidRPr="00093EBB">
        <w:rPr>
          <w:b/>
          <w:sz w:val="26"/>
          <w:szCs w:val="26"/>
          <w:lang w:val="de-DE"/>
        </w:rPr>
        <w:t>3</w:t>
      </w:r>
      <w:r w:rsidR="00573B61" w:rsidRPr="00093EBB">
        <w:rPr>
          <w:noProof/>
          <w:sz w:val="26"/>
          <w:szCs w:val="26"/>
        </w:rPr>
        <w:drawing>
          <wp:inline distT="0" distB="0" distL="0" distR="0" wp14:anchorId="7A623FD7" wp14:editId="58055FBB">
            <wp:extent cx="6126480" cy="2818130"/>
            <wp:effectExtent l="0" t="0" r="7620" b="1270"/>
            <wp:docPr id="1820417007" name="Chart 1">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728027" w14:textId="7C90E224" w:rsidR="007E49A6" w:rsidRPr="00093EBB" w:rsidRDefault="007E49A6" w:rsidP="000B3766">
      <w:pPr>
        <w:spacing w:before="100" w:beforeAutospacing="1" w:after="100" w:afterAutospacing="1" w:line="312" w:lineRule="auto"/>
        <w:jc w:val="both"/>
        <w:rPr>
          <w:i/>
          <w:sz w:val="26"/>
          <w:szCs w:val="26"/>
          <w:lang w:val="de-DE"/>
        </w:rPr>
      </w:pPr>
      <w:r w:rsidRPr="00093EBB">
        <w:rPr>
          <w:i/>
          <w:sz w:val="26"/>
          <w:szCs w:val="26"/>
          <w:lang w:val="de-DE"/>
        </w:rPr>
        <w:t>(</w:t>
      </w:r>
      <w:r w:rsidR="00573B61" w:rsidRPr="00093EBB">
        <w:rPr>
          <w:i/>
          <w:sz w:val="26"/>
          <w:szCs w:val="26"/>
          <w:lang w:val="de-DE"/>
        </w:rPr>
        <w:t>Tác giả t</w:t>
      </w:r>
      <w:r w:rsidRPr="00093EBB">
        <w:rPr>
          <w:i/>
          <w:sz w:val="26"/>
          <w:szCs w:val="26"/>
          <w:lang w:val="de-DE"/>
        </w:rPr>
        <w:t>ính toán từ số liệu Bộ Tài chính</w:t>
      </w:r>
      <w:r w:rsidR="001518A5" w:rsidRPr="00093EBB">
        <w:rPr>
          <w:i/>
          <w:sz w:val="26"/>
          <w:szCs w:val="26"/>
          <w:lang w:val="de-DE"/>
        </w:rPr>
        <w:t>,</w:t>
      </w:r>
      <w:r w:rsidR="008A34A1" w:rsidRPr="00093EBB">
        <w:rPr>
          <w:i/>
          <w:sz w:val="26"/>
          <w:szCs w:val="26"/>
          <w:lang w:val="de-DE"/>
        </w:rPr>
        <w:t xml:space="preserve"> </w:t>
      </w:r>
      <w:r w:rsidR="001518A5" w:rsidRPr="00093EBB">
        <w:rPr>
          <w:i/>
          <w:sz w:val="26"/>
          <w:szCs w:val="26"/>
          <w:lang w:val="de-DE"/>
        </w:rPr>
        <w:t>năm 20</w:t>
      </w:r>
      <w:r w:rsidR="00CB450B" w:rsidRPr="00093EBB">
        <w:rPr>
          <w:i/>
          <w:sz w:val="26"/>
          <w:szCs w:val="26"/>
          <w:lang w:val="de-DE"/>
        </w:rPr>
        <w:t>2</w:t>
      </w:r>
      <w:r w:rsidR="00573B61" w:rsidRPr="00093EBB">
        <w:rPr>
          <w:i/>
          <w:sz w:val="26"/>
          <w:szCs w:val="26"/>
          <w:lang w:val="de-DE"/>
        </w:rPr>
        <w:t>1</w:t>
      </w:r>
      <w:r w:rsidR="001518A5" w:rsidRPr="00093EBB">
        <w:rPr>
          <w:i/>
          <w:sz w:val="26"/>
          <w:szCs w:val="26"/>
          <w:lang w:val="de-DE"/>
        </w:rPr>
        <w:t xml:space="preserve"> là ước thực hiện lần 2, năm 20</w:t>
      </w:r>
      <w:r w:rsidR="009466F1" w:rsidRPr="00093EBB">
        <w:rPr>
          <w:i/>
          <w:sz w:val="26"/>
          <w:szCs w:val="26"/>
          <w:lang w:val="de-DE"/>
        </w:rPr>
        <w:t>2</w:t>
      </w:r>
      <w:r w:rsidR="002D0570" w:rsidRPr="00093EBB">
        <w:rPr>
          <w:i/>
          <w:sz w:val="26"/>
          <w:szCs w:val="26"/>
          <w:lang w:val="de-DE"/>
        </w:rPr>
        <w:t>2</w:t>
      </w:r>
      <w:r w:rsidR="001518A5" w:rsidRPr="00093EBB">
        <w:rPr>
          <w:i/>
          <w:sz w:val="26"/>
          <w:szCs w:val="26"/>
          <w:lang w:val="de-DE"/>
        </w:rPr>
        <w:t xml:space="preserve"> là </w:t>
      </w:r>
      <w:r w:rsidR="00D26E25" w:rsidRPr="00093EBB">
        <w:rPr>
          <w:i/>
          <w:sz w:val="26"/>
          <w:szCs w:val="26"/>
          <w:lang w:val="de-DE"/>
        </w:rPr>
        <w:t xml:space="preserve">số </w:t>
      </w:r>
      <w:r w:rsidR="001518A5" w:rsidRPr="00093EBB">
        <w:rPr>
          <w:i/>
          <w:sz w:val="26"/>
          <w:szCs w:val="26"/>
          <w:lang w:val="de-DE"/>
        </w:rPr>
        <w:t>ướ</w:t>
      </w:r>
      <w:r w:rsidR="00D26E25" w:rsidRPr="00093EBB">
        <w:rPr>
          <w:i/>
          <w:sz w:val="26"/>
          <w:szCs w:val="26"/>
          <w:lang w:val="de-DE"/>
        </w:rPr>
        <w:t>c</w:t>
      </w:r>
      <w:r w:rsidR="00573B61" w:rsidRPr="00093EBB">
        <w:rPr>
          <w:i/>
          <w:sz w:val="26"/>
          <w:szCs w:val="26"/>
          <w:lang w:val="de-DE"/>
        </w:rPr>
        <w:t xml:space="preserve"> tính lần 1 và 2023 và ước tháng 9/2023</w:t>
      </w:r>
      <w:r w:rsidRPr="00093EBB">
        <w:rPr>
          <w:i/>
          <w:sz w:val="26"/>
          <w:szCs w:val="26"/>
          <w:lang w:val="de-DE"/>
        </w:rPr>
        <w:t>)</w:t>
      </w:r>
    </w:p>
    <w:p w14:paraId="53B1383C" w14:textId="7B6F7BBE" w:rsidR="00573B61" w:rsidRPr="00093EBB" w:rsidRDefault="003F6E1A" w:rsidP="00573B61">
      <w:pPr>
        <w:spacing w:before="100" w:beforeAutospacing="1" w:after="100" w:afterAutospacing="1" w:line="312" w:lineRule="auto"/>
        <w:ind w:firstLine="720"/>
        <w:jc w:val="both"/>
        <w:rPr>
          <w:sz w:val="26"/>
          <w:szCs w:val="26"/>
        </w:rPr>
      </w:pPr>
      <w:r w:rsidRPr="00093EBB">
        <w:rPr>
          <w:sz w:val="26"/>
          <w:szCs w:val="26"/>
        </w:rPr>
        <w:t xml:space="preserve">Trước nguy cơ sụt giảm nguồn thu, </w:t>
      </w:r>
      <w:r w:rsidR="00816E35" w:rsidRPr="00093EBB">
        <w:rPr>
          <w:sz w:val="26"/>
          <w:szCs w:val="26"/>
        </w:rPr>
        <w:t xml:space="preserve">chi </w:t>
      </w:r>
      <w:r w:rsidRPr="00093EBB">
        <w:rPr>
          <w:sz w:val="26"/>
          <w:szCs w:val="26"/>
        </w:rPr>
        <w:t>n</w:t>
      </w:r>
      <w:r w:rsidR="00263192" w:rsidRPr="00093EBB">
        <w:rPr>
          <w:sz w:val="26"/>
          <w:szCs w:val="26"/>
        </w:rPr>
        <w:t>gân sách năm 202</w:t>
      </w:r>
      <w:r w:rsidR="00E60F22" w:rsidRPr="00093EBB">
        <w:rPr>
          <w:sz w:val="26"/>
          <w:szCs w:val="26"/>
        </w:rPr>
        <w:t>3</w:t>
      </w:r>
      <w:r w:rsidR="00263192" w:rsidRPr="00093EBB">
        <w:rPr>
          <w:sz w:val="26"/>
          <w:szCs w:val="26"/>
        </w:rPr>
        <w:t xml:space="preserve"> được lập dự toán </w:t>
      </w:r>
      <w:r w:rsidR="00816E35" w:rsidRPr="00093EBB">
        <w:rPr>
          <w:sz w:val="26"/>
          <w:szCs w:val="26"/>
        </w:rPr>
        <w:t>khá thận trọng</w:t>
      </w:r>
      <w:r w:rsidR="00263192" w:rsidRPr="00093EBB">
        <w:rPr>
          <w:sz w:val="26"/>
          <w:szCs w:val="26"/>
        </w:rPr>
        <w:t xml:space="preserve">. </w:t>
      </w:r>
      <w:r w:rsidR="00573B61" w:rsidRPr="00093EBB">
        <w:rPr>
          <w:sz w:val="26"/>
          <w:szCs w:val="26"/>
        </w:rPr>
        <w:t>Theo Nghị quy</w:t>
      </w:r>
      <w:r w:rsidR="00573B61" w:rsidRPr="00093EBB">
        <w:rPr>
          <w:sz w:val="26"/>
          <w:szCs w:val="26"/>
        </w:rPr>
        <w:t>ết về dự toán ngân sách 2023</w:t>
      </w:r>
      <w:r w:rsidR="00573B61" w:rsidRPr="00093EBB">
        <w:rPr>
          <w:sz w:val="26"/>
          <w:szCs w:val="26"/>
        </w:rPr>
        <w:t>, Quốc hội quyết định tổng số thu NSNN năm 2023 là 1.620.744 tỷ đồng.</w:t>
      </w:r>
      <w:r w:rsidR="00573B61" w:rsidRPr="00093EBB">
        <w:rPr>
          <w:sz w:val="26"/>
          <w:szCs w:val="26"/>
          <w:lang w:val="it-IT"/>
        </w:rPr>
        <w:t xml:space="preserve"> </w:t>
      </w:r>
      <w:r w:rsidR="00573B61" w:rsidRPr="00093EBB">
        <w:rPr>
          <w:sz w:val="26"/>
          <w:szCs w:val="26"/>
          <w:lang w:val="it-IT"/>
        </w:rPr>
        <w:t>.</w:t>
      </w:r>
      <w:r w:rsidR="00573B61" w:rsidRPr="00093EBB">
        <w:rPr>
          <w:sz w:val="26"/>
          <w:szCs w:val="26"/>
          <w:lang w:val="it-IT"/>
        </w:rPr>
        <w:t xml:space="preserve">Trong đó thu nội địa là </w:t>
      </w:r>
      <w:r w:rsidR="00573B61" w:rsidRPr="00093EBB">
        <w:rPr>
          <w:sz w:val="26"/>
          <w:szCs w:val="26"/>
          <w:lang w:val="it-IT"/>
        </w:rPr>
        <w:t>334,2 nghìn tỷ đồng, chiếm 82,3% tổng thu cân đối NSNN, tăng khoảng 3,2% so với ước thực hiện năm 2022</w:t>
      </w:r>
      <w:r w:rsidR="00573B61" w:rsidRPr="00093EBB">
        <w:rPr>
          <w:sz w:val="26"/>
          <w:szCs w:val="26"/>
          <w:lang w:val="it-IT"/>
        </w:rPr>
        <w:t xml:space="preserve">. </w:t>
      </w:r>
      <w:r w:rsidR="00573B61" w:rsidRPr="00093EBB">
        <w:rPr>
          <w:sz w:val="26"/>
          <w:szCs w:val="26"/>
          <w:lang w:val="it-IT"/>
        </w:rPr>
        <w:t xml:space="preserve"> </w:t>
      </w:r>
      <w:r w:rsidR="00573B61" w:rsidRPr="00093EBB">
        <w:rPr>
          <w:sz w:val="26"/>
          <w:szCs w:val="26"/>
        </w:rPr>
        <w:t>Tổng số chi NSNN là 2.076.244 tỷ đồng. Về bội chi, mức bội chi NSNN là 455.500 tỷ đồng, tương đương 4,42% GDP, bao gồm bội chi ngân sách trung ương là 430.500 tỷ đồng, tương đương 4,18% GDP và bội chi ngân sách địa phương là 25.000 tỷ đồng, tương đương 0,24% GDP. Năm 2023, tổng mức vay của NSNN là 648.213 tỷ đồng.</w:t>
      </w:r>
    </w:p>
    <w:p w14:paraId="6301149E" w14:textId="31140299" w:rsidR="00573B61" w:rsidRPr="00093EBB" w:rsidRDefault="00573B61" w:rsidP="00573B61">
      <w:pPr>
        <w:spacing w:before="100" w:beforeAutospacing="1" w:after="100" w:afterAutospacing="1" w:line="312" w:lineRule="auto"/>
        <w:ind w:firstLine="720"/>
        <w:jc w:val="both"/>
        <w:rPr>
          <w:sz w:val="26"/>
          <w:szCs w:val="26"/>
        </w:rPr>
      </w:pPr>
      <w:r w:rsidRPr="00093EBB">
        <w:rPr>
          <w:sz w:val="26"/>
          <w:szCs w:val="26"/>
        </w:rPr>
        <w:t>Tuy nhiên, do những khó khăn của kinh tế 2023, việc hoàn thành dự toán thu vẫn là thách thức với ngân sách cả nước và ngân sách nhiều địa phương, nhất là những địa phương có nguồn thu lớn từ đất đai và hoạt động kinh doanh bất động sản.</w:t>
      </w:r>
      <w:r w:rsidR="00D95A1E" w:rsidRPr="00093EBB">
        <w:rPr>
          <w:sz w:val="26"/>
          <w:szCs w:val="26"/>
        </w:rPr>
        <w:t xml:space="preserve"> Với chi NSNN, thách thức lớn nhất vẫn là chi đầu tư luôn thấp hơn dự toán. </w:t>
      </w:r>
    </w:p>
    <w:p w14:paraId="5D60BC19" w14:textId="44373B1E" w:rsidR="007A5A07" w:rsidRPr="00093EBB" w:rsidRDefault="00E03091" w:rsidP="00573B61">
      <w:pPr>
        <w:spacing w:before="100" w:beforeAutospacing="1" w:after="100" w:afterAutospacing="1" w:line="312" w:lineRule="auto"/>
        <w:ind w:firstLine="720"/>
        <w:jc w:val="both"/>
        <w:rPr>
          <w:b/>
          <w:sz w:val="26"/>
          <w:szCs w:val="26"/>
          <w:lang w:val="sv-SE"/>
        </w:rPr>
      </w:pPr>
      <w:r w:rsidRPr="00093EBB">
        <w:rPr>
          <w:b/>
          <w:sz w:val="26"/>
          <w:szCs w:val="26"/>
          <w:lang w:val="sv-SE"/>
        </w:rPr>
        <w:t xml:space="preserve">Hình </w:t>
      </w:r>
      <w:r w:rsidR="00DF03E7" w:rsidRPr="00093EBB">
        <w:rPr>
          <w:b/>
          <w:sz w:val="26"/>
          <w:szCs w:val="26"/>
          <w:lang w:val="sv-SE"/>
        </w:rPr>
        <w:t>2</w:t>
      </w:r>
      <w:r w:rsidRPr="00093EBB">
        <w:rPr>
          <w:b/>
          <w:sz w:val="26"/>
          <w:szCs w:val="26"/>
          <w:lang w:val="sv-SE"/>
        </w:rPr>
        <w:t xml:space="preserve">:  Tỷ lệ thực hiện các khoản chi ngân sách nhà nước </w:t>
      </w:r>
      <w:r w:rsidR="00AF08D7" w:rsidRPr="00093EBB">
        <w:rPr>
          <w:b/>
          <w:sz w:val="26"/>
          <w:szCs w:val="26"/>
          <w:lang w:val="sv-SE"/>
        </w:rPr>
        <w:t xml:space="preserve">so với dự toán năm </w:t>
      </w:r>
      <w:r w:rsidR="00DB4AFE" w:rsidRPr="00093EBB">
        <w:rPr>
          <w:b/>
          <w:sz w:val="26"/>
          <w:szCs w:val="26"/>
          <w:lang w:val="sv-SE"/>
        </w:rPr>
        <w:t>giai đoạn (2006-20</w:t>
      </w:r>
      <w:r w:rsidR="00DF03E7" w:rsidRPr="00093EBB">
        <w:rPr>
          <w:b/>
          <w:sz w:val="26"/>
          <w:szCs w:val="26"/>
          <w:lang w:val="sv-SE"/>
        </w:rPr>
        <w:t>2</w:t>
      </w:r>
      <w:r w:rsidR="00573B61" w:rsidRPr="00093EBB">
        <w:rPr>
          <w:b/>
          <w:sz w:val="26"/>
          <w:szCs w:val="26"/>
          <w:lang w:val="sv-SE"/>
        </w:rPr>
        <w:t>3</w:t>
      </w:r>
      <w:r w:rsidR="00DB4AFE" w:rsidRPr="00093EBB">
        <w:rPr>
          <w:b/>
          <w:sz w:val="26"/>
          <w:szCs w:val="26"/>
          <w:lang w:val="sv-SE"/>
        </w:rPr>
        <w:t>)</w:t>
      </w:r>
      <w:r w:rsidR="00DB4AFE" w:rsidRPr="00093EBB">
        <w:rPr>
          <w:b/>
          <w:sz w:val="26"/>
          <w:szCs w:val="26"/>
          <w:lang w:val="sv-SE"/>
        </w:rPr>
        <w:tab/>
      </w:r>
    </w:p>
    <w:p w14:paraId="34198734" w14:textId="61E69DBD" w:rsidR="00E60F22" w:rsidRPr="00093EBB" w:rsidRDefault="00E60F22" w:rsidP="000B3766">
      <w:pPr>
        <w:spacing w:before="100" w:beforeAutospacing="1" w:after="100" w:afterAutospacing="1" w:line="312" w:lineRule="auto"/>
        <w:jc w:val="both"/>
        <w:rPr>
          <w:b/>
          <w:sz w:val="26"/>
          <w:szCs w:val="26"/>
          <w:lang w:val="sv-SE"/>
        </w:rPr>
      </w:pPr>
      <w:r w:rsidRPr="00093EBB">
        <w:rPr>
          <w:noProof/>
          <w:sz w:val="26"/>
          <w:szCs w:val="26"/>
        </w:rPr>
        <w:lastRenderedPageBreak/>
        <w:drawing>
          <wp:inline distT="0" distB="0" distL="0" distR="0" wp14:anchorId="673E4754" wp14:editId="34EBBE08">
            <wp:extent cx="6126480" cy="2926715"/>
            <wp:effectExtent l="0" t="0" r="7620" b="6985"/>
            <wp:docPr id="1892702980" name="Chart 1">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A39B72" w14:textId="6128507D" w:rsidR="00E03091" w:rsidRPr="00093EBB" w:rsidRDefault="00AF08D7" w:rsidP="000B3766">
      <w:pPr>
        <w:spacing w:before="100" w:beforeAutospacing="1" w:after="100" w:afterAutospacing="1" w:line="312" w:lineRule="auto"/>
        <w:jc w:val="both"/>
        <w:rPr>
          <w:i/>
          <w:sz w:val="26"/>
          <w:szCs w:val="26"/>
          <w:lang w:val="sv-SE"/>
        </w:rPr>
      </w:pPr>
      <w:r w:rsidRPr="00093EBB">
        <w:rPr>
          <w:i/>
          <w:sz w:val="26"/>
          <w:szCs w:val="26"/>
          <w:lang w:val="sv-SE"/>
        </w:rPr>
        <w:t>(</w:t>
      </w:r>
      <w:r w:rsidR="00E03091" w:rsidRPr="00093EBB">
        <w:rPr>
          <w:i/>
          <w:sz w:val="26"/>
          <w:szCs w:val="26"/>
          <w:lang w:val="sv-SE"/>
        </w:rPr>
        <w:t>Nguồn:</w:t>
      </w:r>
      <w:r w:rsidRPr="00093EBB">
        <w:rPr>
          <w:i/>
          <w:sz w:val="26"/>
          <w:szCs w:val="26"/>
          <w:lang w:val="sv-SE"/>
        </w:rPr>
        <w:t xml:space="preserve"> tính toán từ số liệu</w:t>
      </w:r>
      <w:r w:rsidR="00E03091" w:rsidRPr="00093EBB">
        <w:rPr>
          <w:i/>
          <w:sz w:val="26"/>
          <w:szCs w:val="26"/>
          <w:lang w:val="sv-SE"/>
        </w:rPr>
        <w:t xml:space="preserve"> Bộ Tài chính</w:t>
      </w:r>
      <w:r w:rsidRPr="00093EBB">
        <w:rPr>
          <w:i/>
          <w:sz w:val="26"/>
          <w:szCs w:val="26"/>
          <w:lang w:val="sv-SE"/>
        </w:rPr>
        <w:t>, năm 20</w:t>
      </w:r>
      <w:r w:rsidR="009A5F4C" w:rsidRPr="00093EBB">
        <w:rPr>
          <w:i/>
          <w:sz w:val="26"/>
          <w:szCs w:val="26"/>
          <w:lang w:val="sv-SE"/>
        </w:rPr>
        <w:t>2</w:t>
      </w:r>
      <w:r w:rsidR="00D95A1E" w:rsidRPr="00093EBB">
        <w:rPr>
          <w:i/>
          <w:sz w:val="26"/>
          <w:szCs w:val="26"/>
          <w:lang w:val="sv-SE"/>
        </w:rPr>
        <w:t>2</w:t>
      </w:r>
      <w:r w:rsidRPr="00093EBB">
        <w:rPr>
          <w:i/>
          <w:sz w:val="26"/>
          <w:szCs w:val="26"/>
          <w:lang w:val="sv-SE"/>
        </w:rPr>
        <w:t xml:space="preserve"> là ước thực hiện lần 2, năm 20</w:t>
      </w:r>
      <w:r w:rsidR="00DF03E7" w:rsidRPr="00093EBB">
        <w:rPr>
          <w:i/>
          <w:sz w:val="26"/>
          <w:szCs w:val="26"/>
          <w:lang w:val="sv-SE"/>
        </w:rPr>
        <w:t>2</w:t>
      </w:r>
      <w:r w:rsidR="00D95A1E" w:rsidRPr="00093EBB">
        <w:rPr>
          <w:i/>
          <w:sz w:val="26"/>
          <w:szCs w:val="26"/>
          <w:lang w:val="sv-SE"/>
        </w:rPr>
        <w:t>3</w:t>
      </w:r>
      <w:r w:rsidRPr="00093EBB">
        <w:rPr>
          <w:i/>
          <w:sz w:val="26"/>
          <w:szCs w:val="26"/>
          <w:lang w:val="sv-SE"/>
        </w:rPr>
        <w:t xml:space="preserve"> là số ước tính</w:t>
      </w:r>
      <w:r w:rsidR="00E74917" w:rsidRPr="00093EBB">
        <w:rPr>
          <w:i/>
          <w:sz w:val="26"/>
          <w:szCs w:val="26"/>
          <w:lang w:val="sv-SE"/>
        </w:rPr>
        <w:t>)</w:t>
      </w:r>
      <w:r w:rsidR="001A3623" w:rsidRPr="00093EBB">
        <w:rPr>
          <w:i/>
          <w:sz w:val="26"/>
          <w:szCs w:val="26"/>
          <w:lang w:val="sv-SE"/>
        </w:rPr>
        <w:t>.</w:t>
      </w:r>
    </w:p>
    <w:p w14:paraId="4E93E2FE" w14:textId="5264346E" w:rsidR="00B364E6" w:rsidRPr="00093EBB" w:rsidRDefault="006878C2" w:rsidP="000B3766">
      <w:pPr>
        <w:spacing w:before="100" w:beforeAutospacing="1" w:after="100" w:afterAutospacing="1" w:line="312" w:lineRule="auto"/>
        <w:jc w:val="both"/>
        <w:rPr>
          <w:b/>
          <w:sz w:val="26"/>
          <w:szCs w:val="26"/>
          <w:lang w:val="sv-SE"/>
        </w:rPr>
      </w:pPr>
      <w:r w:rsidRPr="00093EBB">
        <w:rPr>
          <w:b/>
          <w:sz w:val="26"/>
          <w:szCs w:val="26"/>
          <w:lang w:val="sv-SE"/>
        </w:rPr>
        <w:t>2</w:t>
      </w:r>
      <w:r w:rsidR="003A6471" w:rsidRPr="00093EBB">
        <w:rPr>
          <w:b/>
          <w:sz w:val="26"/>
          <w:szCs w:val="26"/>
          <w:lang w:val="sv-SE"/>
        </w:rPr>
        <w:t xml:space="preserve">. </w:t>
      </w:r>
      <w:r w:rsidR="00990F45" w:rsidRPr="00093EBB">
        <w:rPr>
          <w:b/>
          <w:sz w:val="26"/>
          <w:szCs w:val="26"/>
          <w:lang w:val="sv-SE"/>
        </w:rPr>
        <w:t xml:space="preserve">Đánh giá chính sách tài khóa </w:t>
      </w:r>
      <w:r w:rsidR="006627AA" w:rsidRPr="00093EBB">
        <w:rPr>
          <w:b/>
          <w:sz w:val="26"/>
          <w:szCs w:val="26"/>
          <w:lang w:val="sv-SE"/>
        </w:rPr>
        <w:t>2021-</w:t>
      </w:r>
      <w:r w:rsidR="00990F45" w:rsidRPr="00093EBB">
        <w:rPr>
          <w:b/>
          <w:sz w:val="26"/>
          <w:szCs w:val="26"/>
          <w:lang w:val="sv-SE"/>
        </w:rPr>
        <w:t>202</w:t>
      </w:r>
      <w:r w:rsidR="006627AA" w:rsidRPr="00093EBB">
        <w:rPr>
          <w:b/>
          <w:sz w:val="26"/>
          <w:szCs w:val="26"/>
          <w:lang w:val="sv-SE"/>
        </w:rPr>
        <w:t>3</w:t>
      </w:r>
      <w:r w:rsidR="00990F45" w:rsidRPr="00093EBB">
        <w:rPr>
          <w:b/>
          <w:sz w:val="26"/>
          <w:szCs w:val="26"/>
          <w:lang w:val="sv-SE"/>
        </w:rPr>
        <w:t xml:space="preserve"> và vấn đề đặt ra cho 2023</w:t>
      </w:r>
      <w:r w:rsidR="006B5D03" w:rsidRPr="00093EBB">
        <w:rPr>
          <w:b/>
          <w:sz w:val="26"/>
          <w:szCs w:val="26"/>
          <w:lang w:val="sv-SE"/>
        </w:rPr>
        <w:t>-2025</w:t>
      </w:r>
    </w:p>
    <w:p w14:paraId="0F468F62" w14:textId="343877D3" w:rsidR="00990F45" w:rsidRPr="00093EBB" w:rsidRDefault="00990F45" w:rsidP="000B3766">
      <w:pPr>
        <w:spacing w:before="100" w:beforeAutospacing="1" w:after="100" w:afterAutospacing="1" w:line="312" w:lineRule="auto"/>
        <w:jc w:val="both"/>
        <w:rPr>
          <w:bCs/>
          <w:sz w:val="26"/>
          <w:szCs w:val="26"/>
          <w:lang w:val="sv-SE"/>
        </w:rPr>
      </w:pPr>
      <w:r w:rsidRPr="00093EBB">
        <w:rPr>
          <w:b/>
          <w:sz w:val="26"/>
          <w:szCs w:val="26"/>
          <w:lang w:val="sv-SE"/>
        </w:rPr>
        <w:tab/>
      </w:r>
      <w:r w:rsidRPr="00093EBB">
        <w:rPr>
          <w:bCs/>
          <w:sz w:val="26"/>
          <w:szCs w:val="26"/>
          <w:lang w:val="sv-SE"/>
        </w:rPr>
        <w:t>Chính sách tài khóa 202</w:t>
      </w:r>
      <w:r w:rsidR="006627AA" w:rsidRPr="00093EBB">
        <w:rPr>
          <w:bCs/>
          <w:sz w:val="26"/>
          <w:szCs w:val="26"/>
          <w:lang w:val="sv-SE"/>
        </w:rPr>
        <w:t>1-2023</w:t>
      </w:r>
      <w:r w:rsidRPr="00093EBB">
        <w:rPr>
          <w:bCs/>
          <w:sz w:val="26"/>
          <w:szCs w:val="26"/>
          <w:lang w:val="sv-SE"/>
        </w:rPr>
        <w:t xml:space="preserve"> của Việt nam qua một loạt </w:t>
      </w:r>
      <w:r w:rsidR="006627AA" w:rsidRPr="00093EBB">
        <w:rPr>
          <w:bCs/>
          <w:sz w:val="26"/>
          <w:szCs w:val="26"/>
          <w:lang w:val="sv-SE"/>
        </w:rPr>
        <w:t xml:space="preserve">Nghị quyết của Quốc hội và </w:t>
      </w:r>
      <w:r w:rsidRPr="00093EBB">
        <w:rPr>
          <w:bCs/>
          <w:sz w:val="26"/>
          <w:szCs w:val="26"/>
          <w:lang w:val="sv-SE"/>
        </w:rPr>
        <w:t>của Thường vụ Quốc hội</w:t>
      </w:r>
      <w:r w:rsidR="006627AA" w:rsidRPr="00093EBB">
        <w:rPr>
          <w:bCs/>
          <w:sz w:val="26"/>
          <w:szCs w:val="26"/>
          <w:lang w:val="sv-SE"/>
        </w:rPr>
        <w:t xml:space="preserve"> trong giai đoạn này </w:t>
      </w:r>
      <w:r w:rsidRPr="00093EBB">
        <w:rPr>
          <w:bCs/>
          <w:sz w:val="26"/>
          <w:szCs w:val="26"/>
          <w:lang w:val="sv-SE"/>
        </w:rPr>
        <w:t xml:space="preserve">được cụ thể hóa bằng các văn bản pháp lý của Chính phủ </w:t>
      </w:r>
      <w:r w:rsidR="00A1437F" w:rsidRPr="00093EBB">
        <w:rPr>
          <w:bCs/>
          <w:sz w:val="26"/>
          <w:szCs w:val="26"/>
          <w:lang w:val="sv-SE"/>
        </w:rPr>
        <w:t xml:space="preserve">đã góp phần giúp Việt nam tiếp tục giữ vững ổn định vĩ mô. Đánh giá khái quát về các chính sách tài khóa </w:t>
      </w:r>
      <w:r w:rsidR="006627AA" w:rsidRPr="00093EBB">
        <w:rPr>
          <w:bCs/>
          <w:sz w:val="26"/>
          <w:szCs w:val="26"/>
          <w:lang w:val="sv-SE"/>
        </w:rPr>
        <w:t xml:space="preserve">2021-2023 </w:t>
      </w:r>
      <w:r w:rsidR="00A1437F" w:rsidRPr="00093EBB">
        <w:rPr>
          <w:bCs/>
          <w:sz w:val="26"/>
          <w:szCs w:val="26"/>
          <w:lang w:val="sv-SE"/>
        </w:rPr>
        <w:t>có thể thấy một số kết quả ban đầu như sau:</w:t>
      </w:r>
    </w:p>
    <w:p w14:paraId="029C659B" w14:textId="0624781E" w:rsidR="00A1437F" w:rsidRPr="00093EBB" w:rsidRDefault="00A1437F" w:rsidP="000B3766">
      <w:pPr>
        <w:spacing w:before="100" w:beforeAutospacing="1" w:after="100" w:afterAutospacing="1" w:line="312" w:lineRule="auto"/>
        <w:jc w:val="both"/>
        <w:rPr>
          <w:bCs/>
          <w:sz w:val="26"/>
          <w:szCs w:val="26"/>
          <w:lang w:val="sv-SE"/>
        </w:rPr>
      </w:pPr>
      <w:r w:rsidRPr="00093EBB">
        <w:rPr>
          <w:bCs/>
          <w:sz w:val="26"/>
          <w:szCs w:val="26"/>
          <w:lang w:val="sv-SE"/>
        </w:rPr>
        <w:tab/>
        <w:t xml:space="preserve">Thứ nhất, các gói hỗ trợ giảm thuế, nhất là VAT, thuế tiêu thụ đặc biệt, thuế bảo vệ môi trường với xăng dầu đã có tác dụng tốt với việc kiềm chế lạm phát của Việt nam </w:t>
      </w:r>
      <w:r w:rsidR="00600CB1" w:rsidRPr="00093EBB">
        <w:rPr>
          <w:bCs/>
          <w:sz w:val="26"/>
          <w:szCs w:val="26"/>
          <w:lang w:val="sv-SE"/>
        </w:rPr>
        <w:t xml:space="preserve">giai đoạn 2021-2023 , trung bình </w:t>
      </w:r>
      <w:r w:rsidRPr="00093EBB">
        <w:rPr>
          <w:bCs/>
          <w:sz w:val="26"/>
          <w:szCs w:val="26"/>
          <w:lang w:val="sv-SE"/>
        </w:rPr>
        <w:t xml:space="preserve">vẫn ở </w:t>
      </w:r>
      <w:r w:rsidR="00600CB1" w:rsidRPr="00093EBB">
        <w:rPr>
          <w:bCs/>
          <w:sz w:val="26"/>
          <w:szCs w:val="26"/>
          <w:lang w:val="sv-SE"/>
        </w:rPr>
        <w:t>m</w:t>
      </w:r>
      <w:r w:rsidRPr="00093EBB">
        <w:rPr>
          <w:bCs/>
          <w:sz w:val="26"/>
          <w:szCs w:val="26"/>
          <w:lang w:val="sv-SE"/>
        </w:rPr>
        <w:t>ức 4 % trong khi nhiều nền kinh tế trên thế giới đang đối mặt với lạm phát cao</w:t>
      </w:r>
      <w:r w:rsidR="004D1A7B" w:rsidRPr="00093EBB">
        <w:rPr>
          <w:bCs/>
          <w:sz w:val="26"/>
          <w:szCs w:val="26"/>
          <w:lang w:val="sv-SE"/>
        </w:rPr>
        <w:t xml:space="preserve"> trong giai đoạn này</w:t>
      </w:r>
      <w:r w:rsidRPr="00093EBB">
        <w:rPr>
          <w:bCs/>
          <w:sz w:val="26"/>
          <w:szCs w:val="26"/>
          <w:lang w:val="sv-SE"/>
        </w:rPr>
        <w:t xml:space="preserve">. </w:t>
      </w:r>
    </w:p>
    <w:p w14:paraId="74CC21B6" w14:textId="7D254B29" w:rsidR="00483CE6" w:rsidRPr="00093EBB" w:rsidRDefault="00A1437F" w:rsidP="000B3766">
      <w:pPr>
        <w:spacing w:before="100" w:beforeAutospacing="1" w:after="100" w:afterAutospacing="1" w:line="312" w:lineRule="auto"/>
        <w:jc w:val="both"/>
        <w:rPr>
          <w:bCs/>
          <w:sz w:val="26"/>
          <w:szCs w:val="26"/>
          <w:lang w:val="sv-SE"/>
        </w:rPr>
      </w:pPr>
      <w:r w:rsidRPr="00093EBB">
        <w:rPr>
          <w:bCs/>
          <w:sz w:val="26"/>
          <w:szCs w:val="26"/>
          <w:lang w:val="sv-SE"/>
        </w:rPr>
        <w:tab/>
        <w:t xml:space="preserve">Thứ hai, gói hỗ trợ tài khóa đã góp phần </w:t>
      </w:r>
      <w:r w:rsidR="004D31E7" w:rsidRPr="00093EBB">
        <w:rPr>
          <w:bCs/>
          <w:sz w:val="26"/>
          <w:szCs w:val="26"/>
          <w:lang w:val="sv-SE"/>
        </w:rPr>
        <w:t xml:space="preserve">phục hồi hoạt động sản xuất kinh doanh, tăng trưởng kinh tế của Việt nam </w:t>
      </w:r>
      <w:r w:rsidR="00A17A63" w:rsidRPr="00093EBB">
        <w:rPr>
          <w:bCs/>
          <w:sz w:val="26"/>
          <w:szCs w:val="26"/>
          <w:lang w:val="sv-SE"/>
        </w:rPr>
        <w:t xml:space="preserve">(góp phần vào tăng trưởng </w:t>
      </w:r>
      <w:r w:rsidR="004D31E7" w:rsidRPr="00093EBB">
        <w:rPr>
          <w:bCs/>
          <w:sz w:val="26"/>
          <w:szCs w:val="26"/>
          <w:lang w:val="sv-SE"/>
        </w:rPr>
        <w:t xml:space="preserve">năm 2022 </w:t>
      </w:r>
      <w:r w:rsidR="00743C9D" w:rsidRPr="00093EBB">
        <w:rPr>
          <w:bCs/>
          <w:sz w:val="26"/>
          <w:szCs w:val="26"/>
          <w:lang w:val="sv-SE"/>
        </w:rPr>
        <w:t>ước đạt hơn 8 %</w:t>
      </w:r>
      <w:r w:rsidR="00A17A63" w:rsidRPr="00093EBB">
        <w:rPr>
          <w:bCs/>
          <w:sz w:val="26"/>
          <w:szCs w:val="26"/>
          <w:lang w:val="sv-SE"/>
        </w:rPr>
        <w:t>)</w:t>
      </w:r>
      <w:r w:rsidR="004D31E7" w:rsidRPr="00093EBB">
        <w:rPr>
          <w:bCs/>
          <w:sz w:val="26"/>
          <w:szCs w:val="26"/>
          <w:lang w:val="sv-SE"/>
        </w:rPr>
        <w:t xml:space="preserve">. </w:t>
      </w:r>
    </w:p>
    <w:p w14:paraId="769142D9" w14:textId="7D7C4132" w:rsidR="00483CE6" w:rsidRPr="00093EBB" w:rsidRDefault="00483CE6" w:rsidP="00483CE6">
      <w:pPr>
        <w:spacing w:before="100" w:beforeAutospacing="1" w:after="100" w:afterAutospacing="1" w:line="312" w:lineRule="auto"/>
        <w:jc w:val="both"/>
        <w:rPr>
          <w:bCs/>
          <w:sz w:val="26"/>
          <w:szCs w:val="26"/>
          <w:lang w:val="sv-SE"/>
        </w:rPr>
      </w:pPr>
      <w:r w:rsidRPr="00093EBB">
        <w:rPr>
          <w:bCs/>
          <w:sz w:val="26"/>
          <w:szCs w:val="26"/>
          <w:lang w:val="sv-SE"/>
        </w:rPr>
        <w:tab/>
        <w:t xml:space="preserve">Thứ ba, </w:t>
      </w:r>
      <w:r w:rsidRPr="00093EBB">
        <w:rPr>
          <w:bCs/>
          <w:sz w:val="26"/>
          <w:szCs w:val="26"/>
          <w:lang w:val="sv-SE"/>
        </w:rPr>
        <w:t>Nợ công và nợ được khu vực công bảo lãnh vẫn ở mức bền vững, ổn định quanh khoảng 36% GDP trong năm 2023 trước khi giảm xuống khoảng 34,4% vào năm 2025.</w:t>
      </w:r>
      <w:r w:rsidRPr="00093EBB">
        <w:rPr>
          <w:bCs/>
          <w:sz w:val="26"/>
          <w:szCs w:val="26"/>
          <w:lang w:val="sv-SE"/>
        </w:rPr>
        <w:t xml:space="preserve"> </w:t>
      </w:r>
      <w:r w:rsidRPr="00093EBB">
        <w:rPr>
          <w:bCs/>
          <w:sz w:val="26"/>
          <w:szCs w:val="26"/>
          <w:lang w:val="sv-SE"/>
        </w:rPr>
        <w:t xml:space="preserve">Nợ của Chính phủ và nợ được được Chính phủ bảo lãnh vẫn ở mức bền vững, qua đó cho thấy dư địa tài khóa còn dồi dào để thực hiện chính sách tài khóa ứng phó với biến động chu kỳ. </w:t>
      </w:r>
      <w:r w:rsidRPr="00093EBB">
        <w:rPr>
          <w:bCs/>
          <w:sz w:val="26"/>
          <w:szCs w:val="26"/>
          <w:lang w:val="sv-SE"/>
        </w:rPr>
        <w:lastRenderedPageBreak/>
        <w:t>Nợ của Chính phủ và được Chính phủ bảo lãnh giảm liên tục từ năm 2016 là thời điểm nợ ở mức 47,5%, đồng thời thấp hơn nhiều so với ngưỡng 60% được Quốc hội đề ra</w:t>
      </w:r>
    </w:p>
    <w:p w14:paraId="3989FEB6" w14:textId="4B4F6573" w:rsidR="00816E35" w:rsidRPr="00093EBB" w:rsidRDefault="00E94B91" w:rsidP="00816E35">
      <w:pPr>
        <w:spacing w:before="100" w:beforeAutospacing="1" w:after="100" w:afterAutospacing="1" w:line="312" w:lineRule="auto"/>
        <w:jc w:val="both"/>
        <w:rPr>
          <w:bCs/>
          <w:sz w:val="26"/>
          <w:szCs w:val="26"/>
          <w:lang w:val="sv-SE"/>
        </w:rPr>
      </w:pPr>
      <w:r w:rsidRPr="00093EBB">
        <w:rPr>
          <w:bCs/>
          <w:sz w:val="26"/>
          <w:szCs w:val="26"/>
          <w:lang w:val="sv-SE"/>
        </w:rPr>
        <w:tab/>
      </w:r>
      <w:r w:rsidR="00816E35" w:rsidRPr="00093EBB">
        <w:rPr>
          <w:bCs/>
          <w:sz w:val="26"/>
          <w:szCs w:val="26"/>
          <w:lang w:val="sv-SE"/>
        </w:rPr>
        <w:t>Tuy nhiên, phân tích chính sách tài khóa năm</w:t>
      </w:r>
      <w:r w:rsidR="00E87F65" w:rsidRPr="00093EBB">
        <w:rPr>
          <w:bCs/>
          <w:sz w:val="26"/>
          <w:szCs w:val="26"/>
          <w:lang w:val="sv-SE"/>
        </w:rPr>
        <w:t xml:space="preserve"> </w:t>
      </w:r>
      <w:r w:rsidR="006627AA" w:rsidRPr="00093EBB">
        <w:rPr>
          <w:bCs/>
          <w:sz w:val="26"/>
          <w:szCs w:val="26"/>
          <w:lang w:val="sv-SE"/>
        </w:rPr>
        <w:t>2021-2</w:t>
      </w:r>
      <w:r w:rsidR="00E87F65" w:rsidRPr="00093EBB">
        <w:rPr>
          <w:bCs/>
          <w:sz w:val="26"/>
          <w:szCs w:val="26"/>
          <w:lang w:val="sv-SE"/>
        </w:rPr>
        <w:t>023</w:t>
      </w:r>
      <w:r w:rsidR="00816E35" w:rsidRPr="00093EBB">
        <w:rPr>
          <w:bCs/>
          <w:sz w:val="26"/>
          <w:szCs w:val="26"/>
          <w:lang w:val="sv-SE"/>
        </w:rPr>
        <w:t xml:space="preserve"> và giai đoạn gần đây cho thấy Việt nam vẫn còn nhiều vấn đề cần phải giải quyết cả trong ngắn và dài hạn. Các thách thức bao gồm: </w:t>
      </w:r>
    </w:p>
    <w:p w14:paraId="1823806C" w14:textId="11E89DEE" w:rsidR="000B3766" w:rsidRPr="00093EBB" w:rsidRDefault="00816E35" w:rsidP="00816E35">
      <w:pPr>
        <w:spacing w:before="100" w:beforeAutospacing="1" w:after="100" w:afterAutospacing="1" w:line="312" w:lineRule="auto"/>
        <w:ind w:firstLine="720"/>
        <w:jc w:val="both"/>
        <w:rPr>
          <w:sz w:val="26"/>
          <w:szCs w:val="26"/>
          <w:lang w:val="sv-SE"/>
        </w:rPr>
      </w:pPr>
      <w:r w:rsidRPr="00093EBB">
        <w:rPr>
          <w:sz w:val="26"/>
          <w:szCs w:val="26"/>
          <w:lang w:val="sv-SE"/>
        </w:rPr>
        <w:t xml:space="preserve">+ </w:t>
      </w:r>
      <w:r w:rsidRPr="00093EBB">
        <w:rPr>
          <w:b/>
          <w:bCs/>
          <w:sz w:val="26"/>
          <w:szCs w:val="26"/>
          <w:lang w:val="sv-SE"/>
        </w:rPr>
        <w:t>Thứ nhất</w:t>
      </w:r>
      <w:r w:rsidRPr="00093EBB">
        <w:rPr>
          <w:sz w:val="26"/>
          <w:szCs w:val="26"/>
          <w:lang w:val="sv-SE"/>
        </w:rPr>
        <w:t xml:space="preserve">, ngoài chính sách miễn giảm thuế có tác dụng rõ rệt thì các chính sách khác còn khá mờ nhạt như chương trình hỗ trợ 2 % lãi suất hay chương trình mua máy tính cho học sinh. Gói hỗ trợ nhà ở mặc dù được coi là rất có ý nghĩa về mặt xã hội nhưng triển khai trên thực tế cũng còn nhiều khó khăn, </w:t>
      </w:r>
      <w:r w:rsidR="00E87F65" w:rsidRPr="00093EBB">
        <w:rPr>
          <w:sz w:val="26"/>
          <w:szCs w:val="26"/>
          <w:lang w:val="sv-SE"/>
        </w:rPr>
        <w:t>chưa được như kỳ vọng</w:t>
      </w:r>
      <w:r w:rsidRPr="00093EBB">
        <w:rPr>
          <w:sz w:val="26"/>
          <w:szCs w:val="26"/>
          <w:lang w:val="sv-SE"/>
        </w:rPr>
        <w:t>. Gói hỗ trợ xây dựng n</w:t>
      </w:r>
      <w:r w:rsidR="000B3766" w:rsidRPr="00093EBB">
        <w:rPr>
          <w:sz w:val="26"/>
          <w:szCs w:val="26"/>
          <w:lang w:val="sv-SE"/>
        </w:rPr>
        <w:t xml:space="preserve">hà ở xã hội gần như chưa giải ngân được. </w:t>
      </w:r>
    </w:p>
    <w:p w14:paraId="3AE8D60A" w14:textId="5AD1C4AD" w:rsidR="000B3766" w:rsidRPr="00093EBB" w:rsidRDefault="000B3766" w:rsidP="000B3766">
      <w:pPr>
        <w:spacing w:before="100" w:beforeAutospacing="1" w:after="100" w:afterAutospacing="1" w:line="312" w:lineRule="auto"/>
        <w:ind w:firstLine="720"/>
        <w:jc w:val="both"/>
        <w:rPr>
          <w:sz w:val="26"/>
          <w:szCs w:val="26"/>
          <w:lang w:val="sv-SE"/>
        </w:rPr>
      </w:pPr>
      <w:r w:rsidRPr="00093EBB">
        <w:rPr>
          <w:sz w:val="26"/>
          <w:szCs w:val="26"/>
          <w:lang w:val="sv-SE"/>
        </w:rPr>
        <w:t xml:space="preserve">+ </w:t>
      </w:r>
      <w:r w:rsidRPr="00093EBB">
        <w:rPr>
          <w:b/>
          <w:bCs/>
          <w:sz w:val="26"/>
          <w:szCs w:val="26"/>
          <w:lang w:val="sv-SE"/>
        </w:rPr>
        <w:t>Thứ hai</w:t>
      </w:r>
      <w:r w:rsidRPr="00093EBB">
        <w:rPr>
          <w:sz w:val="26"/>
          <w:szCs w:val="26"/>
          <w:lang w:val="sv-SE"/>
        </w:rPr>
        <w:t xml:space="preserve">, chi đầu tư giữ vai trò quan trọng trong gói hỗ trợ tài khóa song tiến độ giải ngân rất chậm, </w:t>
      </w:r>
      <w:r w:rsidR="00DF07EB" w:rsidRPr="00093EBB">
        <w:rPr>
          <w:sz w:val="26"/>
          <w:szCs w:val="26"/>
          <w:lang w:val="sv-SE"/>
        </w:rPr>
        <w:t xml:space="preserve">từ </w:t>
      </w:r>
      <w:r w:rsidRPr="00093EBB">
        <w:rPr>
          <w:sz w:val="26"/>
          <w:szCs w:val="26"/>
          <w:lang w:val="sv-SE"/>
        </w:rPr>
        <w:t xml:space="preserve">số liệu hết tháng </w:t>
      </w:r>
      <w:r w:rsidR="00DF07EB" w:rsidRPr="00093EBB">
        <w:rPr>
          <w:sz w:val="26"/>
          <w:szCs w:val="26"/>
          <w:lang w:val="sv-SE"/>
        </w:rPr>
        <w:t xml:space="preserve">08/2023 </w:t>
      </w:r>
      <w:r w:rsidRPr="00093EBB">
        <w:rPr>
          <w:sz w:val="26"/>
          <w:szCs w:val="26"/>
          <w:lang w:val="sv-SE"/>
        </w:rPr>
        <w:t xml:space="preserve">cho thấy tổng chi đầu tư phát triển chỉ đạt </w:t>
      </w:r>
      <w:r w:rsidR="00DF07EB" w:rsidRPr="00093EBB">
        <w:rPr>
          <w:sz w:val="26"/>
          <w:szCs w:val="26"/>
          <w:lang w:val="sv-SE"/>
        </w:rPr>
        <w:t>cả năm khó có thể đạt 90</w:t>
      </w:r>
      <w:r w:rsidRPr="00093EBB">
        <w:rPr>
          <w:sz w:val="26"/>
          <w:szCs w:val="26"/>
          <w:lang w:val="sv-SE"/>
        </w:rPr>
        <w:t xml:space="preserve"> % dự toán. Nhiều khoản chi đầu tư từ chương trình phục hồi KT-XH vẫn chưa thể giải ngân. </w:t>
      </w:r>
      <w:r w:rsidR="00DF07EB" w:rsidRPr="00093EBB">
        <w:rPr>
          <w:sz w:val="26"/>
          <w:szCs w:val="26"/>
          <w:lang w:val="sv-SE"/>
        </w:rPr>
        <w:t xml:space="preserve">Mặc dù </w:t>
      </w:r>
      <w:r w:rsidRPr="00093EBB">
        <w:rPr>
          <w:sz w:val="26"/>
          <w:szCs w:val="26"/>
          <w:lang w:val="sv-SE"/>
        </w:rPr>
        <w:t>Thường vụ Quốc hội</w:t>
      </w:r>
      <w:r w:rsidR="00DF07EB" w:rsidRPr="00093EBB">
        <w:rPr>
          <w:sz w:val="26"/>
          <w:szCs w:val="26"/>
          <w:lang w:val="sv-SE"/>
        </w:rPr>
        <w:t xml:space="preserve"> đã có nhiều giải pháp như </w:t>
      </w:r>
      <w:r w:rsidRPr="00093EBB">
        <w:rPr>
          <w:sz w:val="26"/>
          <w:szCs w:val="26"/>
          <w:lang w:val="sv-SE"/>
        </w:rPr>
        <w:t>ban hành Nghị quyết 584 về việc điều chỉnh, bổ sung dự toán chi đầu tư phát triển vốn ngân sách trung ương năm 2022 cho các bộ, cơ quan trung ương và địa phương.</w:t>
      </w:r>
      <w:r w:rsidR="00DF07EB" w:rsidRPr="00093EBB">
        <w:rPr>
          <w:sz w:val="26"/>
          <w:szCs w:val="26"/>
          <w:lang w:val="sv-SE"/>
        </w:rPr>
        <w:t xml:space="preserve"> Tuy nhiên, t</w:t>
      </w:r>
      <w:r w:rsidR="00E74917" w:rsidRPr="00093EBB">
        <w:rPr>
          <w:sz w:val="26"/>
          <w:szCs w:val="26"/>
          <w:lang w:val="sv-SE"/>
        </w:rPr>
        <w:t xml:space="preserve">ình trạng “no dồn, đói góp” của chi đầu tư </w:t>
      </w:r>
      <w:r w:rsidR="00DF07EB" w:rsidRPr="00093EBB">
        <w:rPr>
          <w:sz w:val="26"/>
          <w:szCs w:val="26"/>
          <w:lang w:val="sv-SE"/>
        </w:rPr>
        <w:t xml:space="preserve">ít thay đổi. Điều này </w:t>
      </w:r>
      <w:r w:rsidR="00E74917" w:rsidRPr="00093EBB">
        <w:rPr>
          <w:sz w:val="26"/>
          <w:szCs w:val="26"/>
          <w:lang w:val="sv-SE"/>
        </w:rPr>
        <w:t xml:space="preserve">sẽ tác động lớn đến tăng trưởng kinh tế của </w:t>
      </w:r>
      <w:r w:rsidR="00DF07EB" w:rsidRPr="00093EBB">
        <w:rPr>
          <w:sz w:val="26"/>
          <w:szCs w:val="26"/>
          <w:lang w:val="sv-SE"/>
        </w:rPr>
        <w:t>giai đoạn 2023-2025</w:t>
      </w:r>
      <w:r w:rsidR="00E74917" w:rsidRPr="00093EBB">
        <w:rPr>
          <w:sz w:val="26"/>
          <w:szCs w:val="26"/>
          <w:lang w:val="sv-SE"/>
        </w:rPr>
        <w:t>.</w:t>
      </w:r>
    </w:p>
    <w:p w14:paraId="1AD47791" w14:textId="10231904" w:rsidR="00E87F65" w:rsidRPr="00093EBB" w:rsidRDefault="00180FE7" w:rsidP="000B3766">
      <w:pPr>
        <w:spacing w:before="100" w:beforeAutospacing="1" w:after="100" w:afterAutospacing="1" w:line="312" w:lineRule="auto"/>
        <w:jc w:val="both"/>
        <w:rPr>
          <w:sz w:val="26"/>
          <w:szCs w:val="26"/>
          <w:lang w:val="sv-SE"/>
        </w:rPr>
      </w:pPr>
      <w:r w:rsidRPr="00093EBB">
        <w:rPr>
          <w:sz w:val="26"/>
          <w:szCs w:val="26"/>
          <w:lang w:val="sv-SE"/>
        </w:rPr>
        <w:tab/>
        <w:t xml:space="preserve">+ </w:t>
      </w:r>
      <w:r w:rsidRPr="00093EBB">
        <w:rPr>
          <w:b/>
          <w:bCs/>
          <w:sz w:val="26"/>
          <w:szCs w:val="26"/>
          <w:lang w:val="sv-SE"/>
        </w:rPr>
        <w:t>Thứ ba</w:t>
      </w:r>
      <w:r w:rsidRPr="00093EBB">
        <w:rPr>
          <w:sz w:val="26"/>
          <w:szCs w:val="26"/>
          <w:lang w:val="sv-SE"/>
        </w:rPr>
        <w:t>, chương trình hỗ trợ và phục hồi KT-XH theo Nghị quyết 43/2022 được thiết kế trước khi có những biến động lớn về tình hình kinh tế chính trị thế giới như xung đột Nga – Ucraina, tình hình lạm phát toàn cầu.</w:t>
      </w:r>
      <w:r w:rsidR="00E74917" w:rsidRPr="00093EBB">
        <w:rPr>
          <w:sz w:val="26"/>
          <w:szCs w:val="26"/>
          <w:lang w:val="sv-SE"/>
        </w:rPr>
        <w:t xml:space="preserve"> </w:t>
      </w:r>
      <w:r w:rsidRPr="00093EBB">
        <w:rPr>
          <w:sz w:val="26"/>
          <w:szCs w:val="26"/>
          <w:lang w:val="sv-SE"/>
        </w:rPr>
        <w:t xml:space="preserve">Do vậy, cần phải có những điều chỉnh trước những biến động của bối cảnh mới. </w:t>
      </w:r>
      <w:r w:rsidR="00DF07EB" w:rsidRPr="00093EBB">
        <w:rPr>
          <w:sz w:val="26"/>
          <w:szCs w:val="26"/>
          <w:lang w:val="sv-SE"/>
        </w:rPr>
        <w:t>Tuy nhiên, dường như, chính sách tài khóa vẫn còn khá thận trọng khi xu hướng chung là ít thay đổi qua các năm. Thận trọng là cần thiết song quá thận trọng sẽ không có lợi khi chi tiêu chính phủ được coi là động lực tăng trưởng quan trọng hiện nay.</w:t>
      </w:r>
    </w:p>
    <w:p w14:paraId="2ECD41C6" w14:textId="77777777" w:rsidR="0013013C" w:rsidRDefault="0013013C" w:rsidP="000B3766">
      <w:pPr>
        <w:spacing w:before="100" w:beforeAutospacing="1" w:after="100" w:afterAutospacing="1" w:line="312" w:lineRule="auto"/>
        <w:jc w:val="both"/>
        <w:rPr>
          <w:b/>
          <w:bCs/>
          <w:sz w:val="26"/>
          <w:szCs w:val="26"/>
          <w:lang w:val="sv-SE"/>
        </w:rPr>
      </w:pPr>
    </w:p>
    <w:p w14:paraId="0CE38AD2" w14:textId="77777777" w:rsidR="0013013C" w:rsidRDefault="0013013C" w:rsidP="000B3766">
      <w:pPr>
        <w:spacing w:before="100" w:beforeAutospacing="1" w:after="100" w:afterAutospacing="1" w:line="312" w:lineRule="auto"/>
        <w:jc w:val="both"/>
        <w:rPr>
          <w:b/>
          <w:bCs/>
          <w:sz w:val="26"/>
          <w:szCs w:val="26"/>
          <w:lang w:val="sv-SE"/>
        </w:rPr>
      </w:pPr>
    </w:p>
    <w:p w14:paraId="1A451843" w14:textId="77777777" w:rsidR="0013013C" w:rsidRDefault="0013013C" w:rsidP="000B3766">
      <w:pPr>
        <w:spacing w:before="100" w:beforeAutospacing="1" w:after="100" w:afterAutospacing="1" w:line="312" w:lineRule="auto"/>
        <w:jc w:val="both"/>
        <w:rPr>
          <w:b/>
          <w:bCs/>
          <w:sz w:val="26"/>
          <w:szCs w:val="26"/>
          <w:lang w:val="sv-SE"/>
        </w:rPr>
      </w:pPr>
    </w:p>
    <w:p w14:paraId="47B4BB10" w14:textId="10514EB4" w:rsidR="00E87F65" w:rsidRPr="00093EBB" w:rsidRDefault="00E87F65" w:rsidP="000B3766">
      <w:pPr>
        <w:spacing w:before="100" w:beforeAutospacing="1" w:after="100" w:afterAutospacing="1" w:line="312" w:lineRule="auto"/>
        <w:jc w:val="both"/>
        <w:rPr>
          <w:b/>
          <w:bCs/>
          <w:sz w:val="26"/>
          <w:szCs w:val="26"/>
          <w:lang w:val="sv-SE"/>
        </w:rPr>
      </w:pPr>
      <w:r w:rsidRPr="00093EBB">
        <w:rPr>
          <w:b/>
          <w:bCs/>
          <w:sz w:val="26"/>
          <w:szCs w:val="26"/>
          <w:lang w:val="sv-SE"/>
        </w:rPr>
        <w:lastRenderedPageBreak/>
        <w:t>Hình 3: Thay đổi hàng năm của thâm hụt ngân sách</w:t>
      </w:r>
      <w:r w:rsidR="00093EBB" w:rsidRPr="00093EBB">
        <w:rPr>
          <w:b/>
          <w:bCs/>
          <w:sz w:val="26"/>
          <w:szCs w:val="26"/>
          <w:lang w:val="sv-SE"/>
        </w:rPr>
        <w:t xml:space="preserve"> (%)</w:t>
      </w:r>
    </w:p>
    <w:p w14:paraId="58C87105" w14:textId="13FCBBC8" w:rsidR="00E87F65" w:rsidRPr="00093EBB" w:rsidRDefault="00E87F65" w:rsidP="000B3766">
      <w:pPr>
        <w:spacing w:before="100" w:beforeAutospacing="1" w:after="100" w:afterAutospacing="1" w:line="312" w:lineRule="auto"/>
        <w:jc w:val="both"/>
        <w:rPr>
          <w:sz w:val="26"/>
          <w:szCs w:val="26"/>
          <w:lang w:val="sv-SE"/>
        </w:rPr>
      </w:pPr>
      <w:r w:rsidRPr="00093EBB">
        <w:rPr>
          <w:noProof/>
          <w:sz w:val="26"/>
          <w:szCs w:val="26"/>
        </w:rPr>
        <w:drawing>
          <wp:inline distT="0" distB="0" distL="0" distR="0" wp14:anchorId="61BCAE29" wp14:editId="0818C321">
            <wp:extent cx="6126480" cy="2673350"/>
            <wp:effectExtent l="0" t="0" r="7620" b="12700"/>
            <wp:docPr id="443332050" name="Chart 1">
              <a:extLst xmlns:a="http://schemas.openxmlformats.org/drawingml/2006/main">
                <a:ext uri="{FF2B5EF4-FFF2-40B4-BE49-F238E27FC236}">
                  <a16:creationId xmlns:a16="http://schemas.microsoft.com/office/drawing/2014/main" id="{25D2A62D-D25B-4DDC-879F-7442F347D2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ACF944" w14:textId="06172234" w:rsidR="00DF07EB" w:rsidRPr="00093EBB" w:rsidRDefault="00D10CE8" w:rsidP="000B3766">
      <w:pPr>
        <w:spacing w:before="100" w:beforeAutospacing="1" w:after="100" w:afterAutospacing="1" w:line="312" w:lineRule="auto"/>
        <w:jc w:val="both"/>
        <w:rPr>
          <w:sz w:val="26"/>
          <w:szCs w:val="26"/>
          <w:lang w:val="sv-SE"/>
        </w:rPr>
      </w:pPr>
      <w:r w:rsidRPr="00093EBB">
        <w:rPr>
          <w:sz w:val="26"/>
          <w:szCs w:val="26"/>
          <w:lang w:val="sv-SE"/>
        </w:rPr>
        <w:tab/>
      </w:r>
      <w:r w:rsidR="00DF07EB" w:rsidRPr="00093EBB">
        <w:rPr>
          <w:sz w:val="26"/>
          <w:szCs w:val="26"/>
          <w:lang w:val="sv-SE"/>
        </w:rPr>
        <w:t>(tính toán từ số liệu quyết toán NSNN nhiều năm)</w:t>
      </w:r>
    </w:p>
    <w:p w14:paraId="5980FFAC" w14:textId="5AE39F63" w:rsidR="00D10CE8" w:rsidRPr="00093EBB" w:rsidRDefault="00D10CE8" w:rsidP="000B3766">
      <w:pPr>
        <w:spacing w:before="100" w:beforeAutospacing="1" w:after="100" w:afterAutospacing="1" w:line="312" w:lineRule="auto"/>
        <w:jc w:val="both"/>
        <w:rPr>
          <w:sz w:val="26"/>
          <w:szCs w:val="26"/>
          <w:lang w:val="sv-SE"/>
        </w:rPr>
      </w:pPr>
      <w:r w:rsidRPr="00093EBB">
        <w:rPr>
          <w:b/>
          <w:bCs/>
          <w:sz w:val="26"/>
          <w:szCs w:val="26"/>
          <w:lang w:val="sv-SE"/>
        </w:rPr>
        <w:t>+ Thứ tư</w:t>
      </w:r>
      <w:r w:rsidRPr="00093EBB">
        <w:rPr>
          <w:sz w:val="26"/>
          <w:szCs w:val="26"/>
          <w:lang w:val="sv-SE"/>
        </w:rPr>
        <w:t xml:space="preserve">, </w:t>
      </w:r>
      <w:r w:rsidR="002706F8" w:rsidRPr="00093EBB">
        <w:rPr>
          <w:sz w:val="26"/>
          <w:szCs w:val="26"/>
          <w:lang w:val="sv-SE"/>
        </w:rPr>
        <w:t>vấn đề dự báo thu và</w:t>
      </w:r>
      <w:r w:rsidR="004B399C" w:rsidRPr="00093EBB">
        <w:rPr>
          <w:sz w:val="26"/>
          <w:szCs w:val="26"/>
          <w:lang w:val="sv-SE"/>
        </w:rPr>
        <w:t xml:space="preserve"> chấp hành</w:t>
      </w:r>
      <w:r w:rsidR="002706F8" w:rsidRPr="00093EBB">
        <w:rPr>
          <w:sz w:val="26"/>
          <w:szCs w:val="26"/>
          <w:lang w:val="sv-SE"/>
        </w:rPr>
        <w:t xml:space="preserve"> chi ngân sách </w:t>
      </w:r>
      <w:r w:rsidR="004B399C" w:rsidRPr="00093EBB">
        <w:rPr>
          <w:sz w:val="26"/>
          <w:szCs w:val="26"/>
          <w:lang w:val="sv-SE"/>
        </w:rPr>
        <w:t xml:space="preserve">cho đầu tư </w:t>
      </w:r>
      <w:r w:rsidR="002706F8" w:rsidRPr="00093EBB">
        <w:rPr>
          <w:sz w:val="26"/>
          <w:szCs w:val="26"/>
          <w:lang w:val="sv-SE"/>
        </w:rPr>
        <w:t xml:space="preserve">vẫn luôn là thách thức. Việc dự báo thận trọng là cần thiết song quá thận trọng có thể khiến Việt nam tự thu hẹp không gian tài khóa của mình. Số liệu ở hình dưới dây cho thấy quy mô thu ngân sách của Việt nam đang có xu </w:t>
      </w:r>
      <w:r w:rsidR="00BC324F" w:rsidRPr="00093EBB">
        <w:rPr>
          <w:sz w:val="26"/>
          <w:szCs w:val="26"/>
          <w:lang w:val="sv-SE"/>
        </w:rPr>
        <w:t>hướng thu hẹp lại so với giai đoạn trước đây</w:t>
      </w:r>
      <w:r w:rsidR="00CD1898" w:rsidRPr="00093EBB">
        <w:rPr>
          <w:sz w:val="26"/>
          <w:szCs w:val="26"/>
          <w:lang w:val="sv-SE"/>
        </w:rPr>
        <w:t xml:space="preserve">. Điều này cho thấy Việt nam đang đứng trước thế lưỡng nan vừa muốn tiếp tục nới lỏng chi tiêu, vừa muốn giảm thuế để hỗ trợ tăng trưởng kinh tế. Hệ quả là cán cân ngân sách có nguy cơ mất cân đối nhiều hơn và rủi ro làm tăng vay nợ. </w:t>
      </w:r>
    </w:p>
    <w:p w14:paraId="5E4ACAF6" w14:textId="77777777" w:rsidR="0013013C" w:rsidRDefault="0013013C" w:rsidP="000B3766">
      <w:pPr>
        <w:spacing w:before="100" w:beforeAutospacing="1" w:after="100" w:afterAutospacing="1" w:line="312" w:lineRule="auto"/>
        <w:jc w:val="both"/>
        <w:rPr>
          <w:b/>
          <w:bCs/>
          <w:sz w:val="26"/>
          <w:szCs w:val="26"/>
          <w:lang w:val="sv-SE"/>
        </w:rPr>
      </w:pPr>
    </w:p>
    <w:p w14:paraId="55F497B9" w14:textId="77777777" w:rsidR="0013013C" w:rsidRDefault="0013013C" w:rsidP="000B3766">
      <w:pPr>
        <w:spacing w:before="100" w:beforeAutospacing="1" w:after="100" w:afterAutospacing="1" w:line="312" w:lineRule="auto"/>
        <w:jc w:val="both"/>
        <w:rPr>
          <w:b/>
          <w:bCs/>
          <w:sz w:val="26"/>
          <w:szCs w:val="26"/>
          <w:lang w:val="sv-SE"/>
        </w:rPr>
      </w:pPr>
    </w:p>
    <w:p w14:paraId="398803FF" w14:textId="77777777" w:rsidR="0013013C" w:rsidRDefault="0013013C" w:rsidP="000B3766">
      <w:pPr>
        <w:spacing w:before="100" w:beforeAutospacing="1" w:after="100" w:afterAutospacing="1" w:line="312" w:lineRule="auto"/>
        <w:jc w:val="both"/>
        <w:rPr>
          <w:b/>
          <w:bCs/>
          <w:sz w:val="26"/>
          <w:szCs w:val="26"/>
          <w:lang w:val="sv-SE"/>
        </w:rPr>
      </w:pPr>
    </w:p>
    <w:p w14:paraId="62249AFA" w14:textId="77777777" w:rsidR="0013013C" w:rsidRDefault="0013013C" w:rsidP="000B3766">
      <w:pPr>
        <w:spacing w:before="100" w:beforeAutospacing="1" w:after="100" w:afterAutospacing="1" w:line="312" w:lineRule="auto"/>
        <w:jc w:val="both"/>
        <w:rPr>
          <w:b/>
          <w:bCs/>
          <w:sz w:val="26"/>
          <w:szCs w:val="26"/>
          <w:lang w:val="sv-SE"/>
        </w:rPr>
      </w:pPr>
    </w:p>
    <w:p w14:paraId="702C0E83" w14:textId="77777777" w:rsidR="0013013C" w:rsidRDefault="0013013C" w:rsidP="000B3766">
      <w:pPr>
        <w:spacing w:before="100" w:beforeAutospacing="1" w:after="100" w:afterAutospacing="1" w:line="312" w:lineRule="auto"/>
        <w:jc w:val="both"/>
        <w:rPr>
          <w:b/>
          <w:bCs/>
          <w:sz w:val="26"/>
          <w:szCs w:val="26"/>
          <w:lang w:val="sv-SE"/>
        </w:rPr>
      </w:pPr>
    </w:p>
    <w:p w14:paraId="5477AAEE" w14:textId="77777777" w:rsidR="0013013C" w:rsidRDefault="0013013C" w:rsidP="000B3766">
      <w:pPr>
        <w:spacing w:before="100" w:beforeAutospacing="1" w:after="100" w:afterAutospacing="1" w:line="312" w:lineRule="auto"/>
        <w:jc w:val="both"/>
        <w:rPr>
          <w:b/>
          <w:bCs/>
          <w:sz w:val="26"/>
          <w:szCs w:val="26"/>
          <w:lang w:val="sv-SE"/>
        </w:rPr>
      </w:pPr>
    </w:p>
    <w:p w14:paraId="3025A561" w14:textId="77777777" w:rsidR="0013013C" w:rsidRDefault="0013013C" w:rsidP="000B3766">
      <w:pPr>
        <w:spacing w:before="100" w:beforeAutospacing="1" w:after="100" w:afterAutospacing="1" w:line="312" w:lineRule="auto"/>
        <w:jc w:val="both"/>
        <w:rPr>
          <w:b/>
          <w:bCs/>
          <w:sz w:val="26"/>
          <w:szCs w:val="26"/>
          <w:lang w:val="sv-SE"/>
        </w:rPr>
      </w:pPr>
    </w:p>
    <w:p w14:paraId="2040FB61" w14:textId="0DE548C7" w:rsidR="00BC324F" w:rsidRPr="00093EBB" w:rsidRDefault="00BC324F" w:rsidP="000B3766">
      <w:pPr>
        <w:spacing w:before="100" w:beforeAutospacing="1" w:after="100" w:afterAutospacing="1" w:line="312" w:lineRule="auto"/>
        <w:jc w:val="both"/>
        <w:rPr>
          <w:b/>
          <w:bCs/>
          <w:sz w:val="26"/>
          <w:szCs w:val="26"/>
          <w:lang w:val="sv-SE"/>
        </w:rPr>
      </w:pPr>
      <w:r w:rsidRPr="00093EBB">
        <w:rPr>
          <w:b/>
          <w:bCs/>
          <w:sz w:val="26"/>
          <w:szCs w:val="26"/>
          <w:lang w:val="sv-SE"/>
        </w:rPr>
        <w:lastRenderedPageBreak/>
        <w:t>Hình</w:t>
      </w:r>
      <w:r w:rsidR="00483CE6" w:rsidRPr="00093EBB">
        <w:rPr>
          <w:b/>
          <w:bCs/>
          <w:sz w:val="26"/>
          <w:szCs w:val="26"/>
          <w:lang w:val="sv-SE"/>
        </w:rPr>
        <w:t xml:space="preserve"> 4</w:t>
      </w:r>
      <w:r w:rsidRPr="00093EBB">
        <w:rPr>
          <w:b/>
          <w:bCs/>
          <w:sz w:val="26"/>
          <w:szCs w:val="26"/>
          <w:lang w:val="sv-SE"/>
        </w:rPr>
        <w:t xml:space="preserve"> </w:t>
      </w:r>
      <w:r w:rsidR="00CD1898" w:rsidRPr="00093EBB">
        <w:rPr>
          <w:b/>
          <w:bCs/>
          <w:sz w:val="26"/>
          <w:szCs w:val="26"/>
          <w:lang w:val="sv-SE"/>
        </w:rPr>
        <w:t>Quy mô thu NSNN so với GDP của các nước có thu nhập trung bình thấp</w:t>
      </w:r>
    </w:p>
    <w:p w14:paraId="62DFD080" w14:textId="768BE94E" w:rsidR="002706F8" w:rsidRPr="00093EBB" w:rsidRDefault="00CD1898" w:rsidP="000B3766">
      <w:pPr>
        <w:spacing w:before="100" w:beforeAutospacing="1" w:after="100" w:afterAutospacing="1" w:line="312" w:lineRule="auto"/>
        <w:jc w:val="both"/>
        <w:rPr>
          <w:sz w:val="26"/>
          <w:szCs w:val="26"/>
          <w:lang w:val="sv-SE"/>
        </w:rPr>
      </w:pPr>
      <w:r w:rsidRPr="00093EBB">
        <w:rPr>
          <w:noProof/>
          <w:sz w:val="26"/>
          <w:szCs w:val="26"/>
        </w:rPr>
        <w:drawing>
          <wp:inline distT="0" distB="0" distL="0" distR="0" wp14:anchorId="0E94626E" wp14:editId="3A30A08C">
            <wp:extent cx="6019137" cy="3140075"/>
            <wp:effectExtent l="0" t="0" r="1270" b="3175"/>
            <wp:docPr id="6" name="Chart 6">
              <a:extLst xmlns:a="http://schemas.openxmlformats.org/drawingml/2006/main">
                <a:ext uri="{FF2B5EF4-FFF2-40B4-BE49-F238E27FC236}">
                  <a16:creationId xmlns:a16="http://schemas.microsoft.com/office/drawing/2014/main" id="{07F552E6-A131-CCE4-4EF6-173168C13C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825C5B" w14:textId="409AF69F" w:rsidR="00CD1898" w:rsidRPr="00093EBB" w:rsidRDefault="00CD1898" w:rsidP="000B3766">
      <w:pPr>
        <w:spacing w:before="100" w:beforeAutospacing="1" w:after="100" w:afterAutospacing="1" w:line="312" w:lineRule="auto"/>
        <w:jc w:val="both"/>
        <w:rPr>
          <w:sz w:val="26"/>
          <w:szCs w:val="26"/>
          <w:lang w:val="sv-SE"/>
        </w:rPr>
      </w:pPr>
      <w:r w:rsidRPr="00093EBB">
        <w:rPr>
          <w:sz w:val="26"/>
          <w:szCs w:val="26"/>
          <w:lang w:val="sv-SE"/>
        </w:rPr>
        <w:t>(Nguồn: IMF</w:t>
      </w:r>
      <w:r w:rsidR="000B3766" w:rsidRPr="00093EBB">
        <w:rPr>
          <w:sz w:val="26"/>
          <w:szCs w:val="26"/>
          <w:lang w:val="sv-SE"/>
        </w:rPr>
        <w:t xml:space="preserve"> (</w:t>
      </w:r>
      <w:r w:rsidRPr="00093EBB">
        <w:rPr>
          <w:sz w:val="26"/>
          <w:szCs w:val="26"/>
          <w:lang w:val="sv-SE"/>
        </w:rPr>
        <w:t>2022</w:t>
      </w:r>
      <w:r w:rsidR="000B3766" w:rsidRPr="00093EBB">
        <w:rPr>
          <w:sz w:val="26"/>
          <w:szCs w:val="26"/>
          <w:lang w:val="sv-SE"/>
        </w:rPr>
        <w:t>)</w:t>
      </w:r>
      <w:r w:rsidR="00CE0376" w:rsidRPr="00093EBB">
        <w:rPr>
          <w:sz w:val="26"/>
          <w:szCs w:val="26"/>
          <w:lang w:val="sv-SE"/>
        </w:rPr>
        <w:t xml:space="preserve"> số liệu 2022-2024 là ước tính</w:t>
      </w:r>
      <w:r w:rsidRPr="00093EBB">
        <w:rPr>
          <w:sz w:val="26"/>
          <w:szCs w:val="26"/>
          <w:lang w:val="sv-SE"/>
        </w:rPr>
        <w:t>).</w:t>
      </w:r>
    </w:p>
    <w:p w14:paraId="7F687500" w14:textId="77777777" w:rsidR="00242E01" w:rsidRPr="00093EBB" w:rsidRDefault="00CE0376" w:rsidP="000B3766">
      <w:pPr>
        <w:spacing w:before="100" w:beforeAutospacing="1" w:after="100" w:afterAutospacing="1" w:line="312" w:lineRule="auto"/>
        <w:jc w:val="both"/>
        <w:rPr>
          <w:sz w:val="26"/>
          <w:szCs w:val="26"/>
          <w:lang w:val="sv-SE"/>
        </w:rPr>
      </w:pPr>
      <w:r w:rsidRPr="00093EBB">
        <w:rPr>
          <w:sz w:val="26"/>
          <w:szCs w:val="26"/>
          <w:lang w:val="sv-SE"/>
        </w:rPr>
        <w:tab/>
        <w:t>Số liệu về kế hoạch tài chính trung hạn</w:t>
      </w:r>
      <w:r w:rsidR="0020314C" w:rsidRPr="00093EBB">
        <w:rPr>
          <w:sz w:val="26"/>
          <w:szCs w:val="26"/>
          <w:lang w:val="sv-SE"/>
        </w:rPr>
        <w:t xml:space="preserve"> </w:t>
      </w:r>
      <w:r w:rsidRPr="00093EBB">
        <w:rPr>
          <w:sz w:val="26"/>
          <w:szCs w:val="26"/>
          <w:lang w:val="sv-SE"/>
        </w:rPr>
        <w:t>- NSNN 3 năm 2022-2024</w:t>
      </w:r>
      <w:r w:rsidR="0020314C" w:rsidRPr="00093EBB">
        <w:rPr>
          <w:sz w:val="26"/>
          <w:szCs w:val="26"/>
          <w:lang w:val="sv-SE"/>
        </w:rPr>
        <w:t>, dự kiến</w:t>
      </w:r>
      <w:r w:rsidRPr="00093EBB">
        <w:rPr>
          <w:sz w:val="26"/>
          <w:szCs w:val="26"/>
          <w:lang w:val="sv-SE"/>
        </w:rPr>
        <w:t xml:space="preserve"> đạt tỷ lệ huy động vào NSNN bình quân khoảng 15,1%GDP (từ thuế, phí gần 13%). </w:t>
      </w:r>
      <w:r w:rsidR="0020314C" w:rsidRPr="00093EBB">
        <w:rPr>
          <w:sz w:val="26"/>
          <w:szCs w:val="26"/>
          <w:lang w:val="sv-SE"/>
        </w:rPr>
        <w:t>Nếu quy đổi theo GDP (cũ) thì quy mô thu NSNN giai đoạn 2022-2024 cũng chỉ tương đương khoảng 18,5 % GDP thấp hơn nhiều mức trung bình giai đoạn 2015-2019 là 25,1 % GDP.</w:t>
      </w:r>
      <w:r w:rsidR="00242E01" w:rsidRPr="00093EBB">
        <w:rPr>
          <w:sz w:val="26"/>
          <w:szCs w:val="26"/>
          <w:lang w:val="sv-SE"/>
        </w:rPr>
        <w:t xml:space="preserve"> </w:t>
      </w:r>
    </w:p>
    <w:p w14:paraId="54D0AB3E" w14:textId="3ECDFCCF" w:rsidR="0020314C" w:rsidRPr="00093EBB" w:rsidRDefault="00242E01" w:rsidP="00242E01">
      <w:pPr>
        <w:spacing w:before="100" w:beforeAutospacing="1" w:after="100" w:afterAutospacing="1" w:line="312" w:lineRule="auto"/>
        <w:ind w:firstLine="720"/>
        <w:jc w:val="both"/>
        <w:rPr>
          <w:sz w:val="26"/>
          <w:szCs w:val="26"/>
          <w:lang w:val="sv-SE"/>
        </w:rPr>
      </w:pPr>
      <w:r w:rsidRPr="00093EBB">
        <w:rPr>
          <w:sz w:val="26"/>
          <w:szCs w:val="26"/>
          <w:lang w:val="sv-SE"/>
        </w:rPr>
        <w:t>Hơn nữa, ngân sách nhà nước của VIệt nam còn biến động khá mạnh hàng năm. Điều này cho thấy vấn đề cả về cải cách hệ thống chính sách thu và vấn đề về quản lý nguồn thu NSNN. Bảng 1 dưới đây tính toán độ lệch chuẩn về rhay đổi tăng thu NSNN của một số nguồn thu chính. Có thể thấy là dao động có xu hướng tăng lên nhanh trong 15 năm vừa qua</w:t>
      </w:r>
    </w:p>
    <w:p w14:paraId="59210FF4" w14:textId="4E7C11A8" w:rsidR="00242E01" w:rsidRPr="00093EBB" w:rsidRDefault="00242E01" w:rsidP="000B3766">
      <w:pPr>
        <w:spacing w:before="100" w:beforeAutospacing="1" w:after="100" w:afterAutospacing="1" w:line="312" w:lineRule="auto"/>
        <w:jc w:val="both"/>
        <w:rPr>
          <w:rFonts w:ascii="Calibri" w:eastAsia="Calibri" w:hAnsi="Calibri"/>
          <w:b/>
          <w:bCs/>
          <w:sz w:val="26"/>
          <w:szCs w:val="26"/>
          <w:lang w:val="sv-SE" w:eastAsia="en-US"/>
        </w:rPr>
      </w:pPr>
      <w:r w:rsidRPr="00093EBB">
        <w:rPr>
          <w:sz w:val="26"/>
          <w:szCs w:val="26"/>
          <w:lang w:val="sv-SE"/>
        </w:rPr>
        <w:tab/>
      </w:r>
      <w:r w:rsidRPr="00093EBB">
        <w:rPr>
          <w:b/>
          <w:bCs/>
          <w:sz w:val="26"/>
          <w:szCs w:val="26"/>
          <w:lang w:val="sv-SE"/>
        </w:rPr>
        <w:t xml:space="preserve">Bảng 1: Độ lệch chuẩn về thay đổi số thu NSNN hàng năm </w:t>
      </w:r>
      <w:r w:rsidRPr="00093EBB">
        <w:rPr>
          <w:b/>
          <w:bCs/>
          <w:sz w:val="26"/>
          <w:szCs w:val="26"/>
          <w:lang w:val="sv-SE"/>
        </w:rPr>
        <w:fldChar w:fldCharType="begin"/>
      </w:r>
      <w:r w:rsidRPr="00093EBB">
        <w:rPr>
          <w:b/>
          <w:bCs/>
          <w:sz w:val="26"/>
          <w:szCs w:val="26"/>
          <w:lang w:val="sv-SE"/>
        </w:rPr>
        <w:instrText xml:space="preserve"> LINK Excel.Sheet.8 "G:\\solieuTK_VN\\NSNN\\Data_Tonghop_NSNN.08.2023.xls" "Dothi_Hinh!R62C1:R75C4" \a \f 5 \h  \* MERGEFORMAT </w:instrText>
      </w:r>
      <w:r w:rsidRPr="00093EBB">
        <w:rPr>
          <w:b/>
          <w:bCs/>
          <w:sz w:val="26"/>
          <w:szCs w:val="26"/>
          <w:lang w:val="sv-SE"/>
        </w:rPr>
        <w:fldChar w:fldCharType="separate"/>
      </w:r>
    </w:p>
    <w:tbl>
      <w:tblPr>
        <w:tblStyle w:val="TableGrid"/>
        <w:tblW w:w="8337" w:type="dxa"/>
        <w:tblLook w:val="04A0" w:firstRow="1" w:lastRow="0" w:firstColumn="1" w:lastColumn="0" w:noHBand="0" w:noVBand="1"/>
      </w:tblPr>
      <w:tblGrid>
        <w:gridCol w:w="4497"/>
        <w:gridCol w:w="1280"/>
        <w:gridCol w:w="1340"/>
        <w:gridCol w:w="1220"/>
      </w:tblGrid>
      <w:tr w:rsidR="00242E01" w:rsidRPr="00093EBB" w14:paraId="2D7CFFBB" w14:textId="77777777" w:rsidTr="00242E01">
        <w:trPr>
          <w:trHeight w:val="312"/>
        </w:trPr>
        <w:tc>
          <w:tcPr>
            <w:tcW w:w="4497" w:type="dxa"/>
            <w:noWrap/>
            <w:hideMark/>
          </w:tcPr>
          <w:p w14:paraId="41A1A23E" w14:textId="3628DFDE" w:rsidR="00242E01" w:rsidRPr="00093EBB" w:rsidRDefault="00242E01" w:rsidP="00242E01">
            <w:pPr>
              <w:spacing w:before="100" w:beforeAutospacing="1" w:after="100" w:afterAutospacing="1" w:line="312" w:lineRule="auto"/>
              <w:jc w:val="both"/>
              <w:rPr>
                <w:sz w:val="26"/>
                <w:szCs w:val="26"/>
                <w:lang w:val="sv-SE"/>
              </w:rPr>
            </w:pPr>
            <w:r w:rsidRPr="00093EBB">
              <w:rPr>
                <w:sz w:val="26"/>
                <w:szCs w:val="26"/>
                <w:lang w:val="sv-SE"/>
              </w:rPr>
              <w:t> </w:t>
            </w:r>
          </w:p>
        </w:tc>
        <w:tc>
          <w:tcPr>
            <w:tcW w:w="1280" w:type="dxa"/>
            <w:noWrap/>
            <w:hideMark/>
          </w:tcPr>
          <w:p w14:paraId="70DA0BD9"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2007-2010</w:t>
            </w:r>
          </w:p>
        </w:tc>
        <w:tc>
          <w:tcPr>
            <w:tcW w:w="1340" w:type="dxa"/>
            <w:noWrap/>
            <w:hideMark/>
          </w:tcPr>
          <w:p w14:paraId="7805702D"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2011-2016</w:t>
            </w:r>
          </w:p>
        </w:tc>
        <w:tc>
          <w:tcPr>
            <w:tcW w:w="1220" w:type="dxa"/>
            <w:noWrap/>
            <w:hideMark/>
          </w:tcPr>
          <w:p w14:paraId="03AD615E"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2017-2022</w:t>
            </w:r>
          </w:p>
        </w:tc>
      </w:tr>
      <w:tr w:rsidR="00242E01" w:rsidRPr="00093EBB" w14:paraId="66F88BBC" w14:textId="77777777" w:rsidTr="00242E01">
        <w:trPr>
          <w:trHeight w:val="312"/>
        </w:trPr>
        <w:tc>
          <w:tcPr>
            <w:tcW w:w="4497" w:type="dxa"/>
            <w:noWrap/>
            <w:hideMark/>
          </w:tcPr>
          <w:p w14:paraId="2F6B85B2"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 xml:space="preserve">TỔNG THU NSNN </w:t>
            </w:r>
          </w:p>
        </w:tc>
        <w:tc>
          <w:tcPr>
            <w:tcW w:w="1280" w:type="dxa"/>
            <w:noWrap/>
            <w:hideMark/>
          </w:tcPr>
          <w:p w14:paraId="4AF4D28F"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8.77</w:t>
            </w:r>
          </w:p>
        </w:tc>
        <w:tc>
          <w:tcPr>
            <w:tcW w:w="1340" w:type="dxa"/>
            <w:noWrap/>
            <w:hideMark/>
          </w:tcPr>
          <w:p w14:paraId="2D3E8A12"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12.16</w:t>
            </w:r>
          </w:p>
        </w:tc>
        <w:tc>
          <w:tcPr>
            <w:tcW w:w="1220" w:type="dxa"/>
            <w:noWrap/>
            <w:hideMark/>
          </w:tcPr>
          <w:p w14:paraId="5343B160"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10.26</w:t>
            </w:r>
          </w:p>
        </w:tc>
      </w:tr>
      <w:tr w:rsidR="00242E01" w:rsidRPr="00093EBB" w14:paraId="6AC0E60B" w14:textId="77777777" w:rsidTr="00242E01">
        <w:trPr>
          <w:trHeight w:val="312"/>
        </w:trPr>
        <w:tc>
          <w:tcPr>
            <w:tcW w:w="4497" w:type="dxa"/>
            <w:noWrap/>
            <w:hideMark/>
          </w:tcPr>
          <w:p w14:paraId="68159FA9" w14:textId="77777777" w:rsidR="00242E01" w:rsidRPr="00093EBB" w:rsidRDefault="00242E01" w:rsidP="00242E01">
            <w:pPr>
              <w:spacing w:before="100" w:beforeAutospacing="1" w:after="100" w:afterAutospacing="1" w:line="312" w:lineRule="auto"/>
              <w:jc w:val="both"/>
              <w:rPr>
                <w:b/>
                <w:bCs/>
                <w:sz w:val="26"/>
                <w:szCs w:val="26"/>
              </w:rPr>
            </w:pPr>
            <w:r w:rsidRPr="00093EBB">
              <w:rPr>
                <w:b/>
                <w:bCs/>
                <w:sz w:val="26"/>
                <w:szCs w:val="26"/>
              </w:rPr>
              <w:t>I.Thu thường xuyên</w:t>
            </w:r>
          </w:p>
        </w:tc>
        <w:tc>
          <w:tcPr>
            <w:tcW w:w="1280" w:type="dxa"/>
            <w:noWrap/>
            <w:hideMark/>
          </w:tcPr>
          <w:p w14:paraId="209AF39C"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9.98</w:t>
            </w:r>
          </w:p>
        </w:tc>
        <w:tc>
          <w:tcPr>
            <w:tcW w:w="1340" w:type="dxa"/>
            <w:noWrap/>
            <w:hideMark/>
          </w:tcPr>
          <w:p w14:paraId="738059A5"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12.47</w:t>
            </w:r>
          </w:p>
        </w:tc>
        <w:tc>
          <w:tcPr>
            <w:tcW w:w="1220" w:type="dxa"/>
            <w:noWrap/>
            <w:hideMark/>
          </w:tcPr>
          <w:p w14:paraId="1DFC1511"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10.17</w:t>
            </w:r>
          </w:p>
        </w:tc>
      </w:tr>
      <w:tr w:rsidR="00242E01" w:rsidRPr="00093EBB" w14:paraId="4C2B64E0" w14:textId="77777777" w:rsidTr="00242E01">
        <w:trPr>
          <w:trHeight w:val="312"/>
        </w:trPr>
        <w:tc>
          <w:tcPr>
            <w:tcW w:w="4497" w:type="dxa"/>
            <w:noWrap/>
            <w:hideMark/>
          </w:tcPr>
          <w:p w14:paraId="05462F08"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Thuế GTGT hàng sản xuất trong nước</w:t>
            </w:r>
          </w:p>
        </w:tc>
        <w:tc>
          <w:tcPr>
            <w:tcW w:w="1280" w:type="dxa"/>
            <w:noWrap/>
            <w:hideMark/>
          </w:tcPr>
          <w:p w14:paraId="7087031F"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9.13</w:t>
            </w:r>
          </w:p>
        </w:tc>
        <w:tc>
          <w:tcPr>
            <w:tcW w:w="1340" w:type="dxa"/>
            <w:noWrap/>
            <w:hideMark/>
          </w:tcPr>
          <w:p w14:paraId="068FA577"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19.45</w:t>
            </w:r>
          </w:p>
        </w:tc>
        <w:tc>
          <w:tcPr>
            <w:tcW w:w="1220" w:type="dxa"/>
            <w:noWrap/>
            <w:hideMark/>
          </w:tcPr>
          <w:p w14:paraId="4FCB7A9B"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18.69</w:t>
            </w:r>
          </w:p>
        </w:tc>
      </w:tr>
      <w:tr w:rsidR="00242E01" w:rsidRPr="00093EBB" w14:paraId="0596FCEE" w14:textId="77777777" w:rsidTr="00242E01">
        <w:trPr>
          <w:trHeight w:val="312"/>
        </w:trPr>
        <w:tc>
          <w:tcPr>
            <w:tcW w:w="4497" w:type="dxa"/>
            <w:noWrap/>
            <w:hideMark/>
          </w:tcPr>
          <w:p w14:paraId="37C9B3AD"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Thuế TTĐB hàng sản xuất trong nước</w:t>
            </w:r>
          </w:p>
        </w:tc>
        <w:tc>
          <w:tcPr>
            <w:tcW w:w="1280" w:type="dxa"/>
            <w:noWrap/>
            <w:hideMark/>
          </w:tcPr>
          <w:p w14:paraId="4FFEC691"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13.07</w:t>
            </w:r>
          </w:p>
        </w:tc>
        <w:tc>
          <w:tcPr>
            <w:tcW w:w="1340" w:type="dxa"/>
            <w:noWrap/>
            <w:hideMark/>
          </w:tcPr>
          <w:p w14:paraId="7C1496E4"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12.84</w:t>
            </w:r>
          </w:p>
        </w:tc>
        <w:tc>
          <w:tcPr>
            <w:tcW w:w="1220" w:type="dxa"/>
            <w:noWrap/>
            <w:hideMark/>
          </w:tcPr>
          <w:p w14:paraId="3CEDB073"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12.56</w:t>
            </w:r>
          </w:p>
        </w:tc>
      </w:tr>
      <w:tr w:rsidR="00242E01" w:rsidRPr="00093EBB" w14:paraId="1359DF35" w14:textId="77777777" w:rsidTr="00242E01">
        <w:trPr>
          <w:trHeight w:val="312"/>
        </w:trPr>
        <w:tc>
          <w:tcPr>
            <w:tcW w:w="4497" w:type="dxa"/>
            <w:noWrap/>
            <w:hideMark/>
          </w:tcPr>
          <w:p w14:paraId="0C71DF13"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lastRenderedPageBreak/>
              <w:t>Thuế XK, NK và TTĐB hàng NK</w:t>
            </w:r>
          </w:p>
        </w:tc>
        <w:tc>
          <w:tcPr>
            <w:tcW w:w="1280" w:type="dxa"/>
            <w:noWrap/>
            <w:hideMark/>
          </w:tcPr>
          <w:p w14:paraId="0787A09E"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25.22</w:t>
            </w:r>
          </w:p>
        </w:tc>
        <w:tc>
          <w:tcPr>
            <w:tcW w:w="1340" w:type="dxa"/>
            <w:noWrap/>
            <w:hideMark/>
          </w:tcPr>
          <w:p w14:paraId="79297029"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27.92</w:t>
            </w:r>
          </w:p>
        </w:tc>
        <w:tc>
          <w:tcPr>
            <w:tcW w:w="1220" w:type="dxa"/>
            <w:noWrap/>
            <w:hideMark/>
          </w:tcPr>
          <w:p w14:paraId="45C0DFE3"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15.17</w:t>
            </w:r>
          </w:p>
        </w:tc>
      </w:tr>
      <w:tr w:rsidR="00242E01" w:rsidRPr="00093EBB" w14:paraId="3D24CAAC" w14:textId="77777777" w:rsidTr="00242E01">
        <w:trPr>
          <w:trHeight w:val="312"/>
        </w:trPr>
        <w:tc>
          <w:tcPr>
            <w:tcW w:w="4497" w:type="dxa"/>
            <w:noWrap/>
            <w:hideMark/>
          </w:tcPr>
          <w:p w14:paraId="79D4C2A0"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Thuế thu nhập doanh nghiệp</w:t>
            </w:r>
          </w:p>
        </w:tc>
        <w:tc>
          <w:tcPr>
            <w:tcW w:w="1280" w:type="dxa"/>
            <w:noWrap/>
            <w:hideMark/>
          </w:tcPr>
          <w:p w14:paraId="723B742D"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22.69</w:t>
            </w:r>
          </w:p>
        </w:tc>
        <w:tc>
          <w:tcPr>
            <w:tcW w:w="1340" w:type="dxa"/>
            <w:noWrap/>
            <w:hideMark/>
          </w:tcPr>
          <w:p w14:paraId="6DE4CC85"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22.12</w:t>
            </w:r>
          </w:p>
        </w:tc>
        <w:tc>
          <w:tcPr>
            <w:tcW w:w="1220" w:type="dxa"/>
            <w:noWrap/>
            <w:hideMark/>
          </w:tcPr>
          <w:p w14:paraId="7D86F2FD"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20.97</w:t>
            </w:r>
          </w:p>
        </w:tc>
      </w:tr>
      <w:tr w:rsidR="00242E01" w:rsidRPr="00093EBB" w14:paraId="713B8902" w14:textId="77777777" w:rsidTr="00242E01">
        <w:trPr>
          <w:trHeight w:val="312"/>
        </w:trPr>
        <w:tc>
          <w:tcPr>
            <w:tcW w:w="4497" w:type="dxa"/>
            <w:noWrap/>
            <w:hideMark/>
          </w:tcPr>
          <w:p w14:paraId="477FFE94"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Thuế tài nguyên</w:t>
            </w:r>
          </w:p>
        </w:tc>
        <w:tc>
          <w:tcPr>
            <w:tcW w:w="1280" w:type="dxa"/>
            <w:noWrap/>
            <w:hideMark/>
          </w:tcPr>
          <w:p w14:paraId="1456424B"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33.21</w:t>
            </w:r>
          </w:p>
        </w:tc>
        <w:tc>
          <w:tcPr>
            <w:tcW w:w="1340" w:type="dxa"/>
            <w:noWrap/>
            <w:hideMark/>
          </w:tcPr>
          <w:p w14:paraId="4C39F882"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28.87</w:t>
            </w:r>
          </w:p>
        </w:tc>
        <w:tc>
          <w:tcPr>
            <w:tcW w:w="1220" w:type="dxa"/>
            <w:noWrap/>
            <w:hideMark/>
          </w:tcPr>
          <w:p w14:paraId="66FF7515"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30.36</w:t>
            </w:r>
          </w:p>
        </w:tc>
      </w:tr>
      <w:tr w:rsidR="00242E01" w:rsidRPr="00093EBB" w14:paraId="6AE98F2C" w14:textId="77777777" w:rsidTr="00242E01">
        <w:trPr>
          <w:trHeight w:val="312"/>
        </w:trPr>
        <w:tc>
          <w:tcPr>
            <w:tcW w:w="4497" w:type="dxa"/>
            <w:noWrap/>
            <w:hideMark/>
          </w:tcPr>
          <w:p w14:paraId="1403FE87"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Thuế thu nhập ca nhan</w:t>
            </w:r>
          </w:p>
        </w:tc>
        <w:tc>
          <w:tcPr>
            <w:tcW w:w="1280" w:type="dxa"/>
            <w:noWrap/>
            <w:hideMark/>
          </w:tcPr>
          <w:p w14:paraId="78482AA0"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28.80</w:t>
            </w:r>
          </w:p>
        </w:tc>
        <w:tc>
          <w:tcPr>
            <w:tcW w:w="1340" w:type="dxa"/>
            <w:noWrap/>
            <w:hideMark/>
          </w:tcPr>
          <w:p w14:paraId="03983510"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32.86</w:t>
            </w:r>
          </w:p>
        </w:tc>
        <w:tc>
          <w:tcPr>
            <w:tcW w:w="1220" w:type="dxa"/>
            <w:noWrap/>
            <w:hideMark/>
          </w:tcPr>
          <w:p w14:paraId="013860E3"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33.00</w:t>
            </w:r>
          </w:p>
        </w:tc>
      </w:tr>
      <w:tr w:rsidR="00242E01" w:rsidRPr="00093EBB" w14:paraId="42789691" w14:textId="77777777" w:rsidTr="00242E01">
        <w:trPr>
          <w:trHeight w:val="312"/>
        </w:trPr>
        <w:tc>
          <w:tcPr>
            <w:tcW w:w="4497" w:type="dxa"/>
            <w:noWrap/>
            <w:hideMark/>
          </w:tcPr>
          <w:p w14:paraId="1D26795B"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Thu phí xăng dầu (từ 2012 là thuế môi trường)</w:t>
            </w:r>
          </w:p>
        </w:tc>
        <w:tc>
          <w:tcPr>
            <w:tcW w:w="1280" w:type="dxa"/>
            <w:noWrap/>
            <w:hideMark/>
          </w:tcPr>
          <w:p w14:paraId="680A6C80"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40.27</w:t>
            </w:r>
          </w:p>
        </w:tc>
        <w:tc>
          <w:tcPr>
            <w:tcW w:w="1340" w:type="dxa"/>
            <w:noWrap/>
            <w:hideMark/>
          </w:tcPr>
          <w:p w14:paraId="72F15F89"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40.20</w:t>
            </w:r>
          </w:p>
        </w:tc>
        <w:tc>
          <w:tcPr>
            <w:tcW w:w="1220" w:type="dxa"/>
            <w:noWrap/>
            <w:hideMark/>
          </w:tcPr>
          <w:p w14:paraId="30EB0055"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41.60</w:t>
            </w:r>
          </w:p>
        </w:tc>
      </w:tr>
      <w:tr w:rsidR="00242E01" w:rsidRPr="00093EBB" w14:paraId="0DF2178A" w14:textId="77777777" w:rsidTr="00242E01">
        <w:trPr>
          <w:trHeight w:val="312"/>
        </w:trPr>
        <w:tc>
          <w:tcPr>
            <w:tcW w:w="4497" w:type="dxa"/>
            <w:noWrap/>
            <w:hideMark/>
          </w:tcPr>
          <w:p w14:paraId="273522C7" w14:textId="77777777" w:rsidR="00242E01" w:rsidRPr="00093EBB" w:rsidRDefault="00242E01" w:rsidP="00242E01">
            <w:pPr>
              <w:spacing w:before="100" w:beforeAutospacing="1" w:after="100" w:afterAutospacing="1" w:line="312" w:lineRule="auto"/>
              <w:jc w:val="both"/>
              <w:rPr>
                <w:b/>
                <w:bCs/>
                <w:sz w:val="26"/>
                <w:szCs w:val="26"/>
              </w:rPr>
            </w:pPr>
            <w:r w:rsidRPr="00093EBB">
              <w:rPr>
                <w:b/>
                <w:bCs/>
                <w:sz w:val="26"/>
                <w:szCs w:val="26"/>
              </w:rPr>
              <w:t>II.Thu không thường xuyên</w:t>
            </w:r>
          </w:p>
        </w:tc>
        <w:tc>
          <w:tcPr>
            <w:tcW w:w="1280" w:type="dxa"/>
            <w:noWrap/>
            <w:hideMark/>
          </w:tcPr>
          <w:p w14:paraId="3C83E790"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 </w:t>
            </w:r>
          </w:p>
        </w:tc>
        <w:tc>
          <w:tcPr>
            <w:tcW w:w="1340" w:type="dxa"/>
            <w:noWrap/>
            <w:hideMark/>
          </w:tcPr>
          <w:p w14:paraId="2B574CCA"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 </w:t>
            </w:r>
          </w:p>
        </w:tc>
        <w:tc>
          <w:tcPr>
            <w:tcW w:w="1220" w:type="dxa"/>
            <w:noWrap/>
            <w:hideMark/>
          </w:tcPr>
          <w:p w14:paraId="4F29B42E"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 </w:t>
            </w:r>
          </w:p>
        </w:tc>
      </w:tr>
      <w:tr w:rsidR="00242E01" w:rsidRPr="00093EBB" w14:paraId="4E03124B" w14:textId="77777777" w:rsidTr="00242E01">
        <w:trPr>
          <w:trHeight w:val="312"/>
        </w:trPr>
        <w:tc>
          <w:tcPr>
            <w:tcW w:w="4497" w:type="dxa"/>
            <w:noWrap/>
            <w:hideMark/>
          </w:tcPr>
          <w:p w14:paraId="1B7DBFE8"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Thu tiền thuê đất</w:t>
            </w:r>
          </w:p>
        </w:tc>
        <w:tc>
          <w:tcPr>
            <w:tcW w:w="1280" w:type="dxa"/>
            <w:noWrap/>
            <w:hideMark/>
          </w:tcPr>
          <w:p w14:paraId="4237F8A7"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27.81</w:t>
            </w:r>
          </w:p>
        </w:tc>
        <w:tc>
          <w:tcPr>
            <w:tcW w:w="1340" w:type="dxa"/>
            <w:noWrap/>
            <w:hideMark/>
          </w:tcPr>
          <w:p w14:paraId="784B028B"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30.20</w:t>
            </w:r>
          </w:p>
        </w:tc>
        <w:tc>
          <w:tcPr>
            <w:tcW w:w="1220" w:type="dxa"/>
            <w:noWrap/>
            <w:hideMark/>
          </w:tcPr>
          <w:p w14:paraId="70AD9391"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23.26</w:t>
            </w:r>
          </w:p>
        </w:tc>
      </w:tr>
      <w:tr w:rsidR="00242E01" w:rsidRPr="00093EBB" w14:paraId="3E9EE901" w14:textId="77777777" w:rsidTr="00242E01">
        <w:trPr>
          <w:trHeight w:val="312"/>
        </w:trPr>
        <w:tc>
          <w:tcPr>
            <w:tcW w:w="4497" w:type="dxa"/>
            <w:noWrap/>
            <w:hideMark/>
          </w:tcPr>
          <w:p w14:paraId="66E1A162"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Thu về vốn và tài sản</w:t>
            </w:r>
          </w:p>
        </w:tc>
        <w:tc>
          <w:tcPr>
            <w:tcW w:w="1280" w:type="dxa"/>
            <w:noWrap/>
            <w:hideMark/>
          </w:tcPr>
          <w:p w14:paraId="78F91A25"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30.38</w:t>
            </w:r>
          </w:p>
        </w:tc>
        <w:tc>
          <w:tcPr>
            <w:tcW w:w="1340" w:type="dxa"/>
            <w:noWrap/>
            <w:hideMark/>
          </w:tcPr>
          <w:p w14:paraId="076CECB7"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17.13</w:t>
            </w:r>
          </w:p>
        </w:tc>
        <w:tc>
          <w:tcPr>
            <w:tcW w:w="1220" w:type="dxa"/>
            <w:noWrap/>
            <w:hideMark/>
          </w:tcPr>
          <w:p w14:paraId="78C1D1EA"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17.56</w:t>
            </w:r>
          </w:p>
        </w:tc>
      </w:tr>
      <w:tr w:rsidR="00242E01" w:rsidRPr="00093EBB" w14:paraId="6B71D241" w14:textId="77777777" w:rsidTr="00242E01">
        <w:trPr>
          <w:trHeight w:val="312"/>
        </w:trPr>
        <w:tc>
          <w:tcPr>
            <w:tcW w:w="4497" w:type="dxa"/>
            <w:noWrap/>
            <w:hideMark/>
          </w:tcPr>
          <w:p w14:paraId="715DB3E3"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Thu tiền sử dụng đất</w:t>
            </w:r>
          </w:p>
        </w:tc>
        <w:tc>
          <w:tcPr>
            <w:tcW w:w="1280" w:type="dxa"/>
            <w:noWrap/>
            <w:hideMark/>
          </w:tcPr>
          <w:p w14:paraId="32CAF437"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32.68</w:t>
            </w:r>
          </w:p>
        </w:tc>
        <w:tc>
          <w:tcPr>
            <w:tcW w:w="1340" w:type="dxa"/>
            <w:noWrap/>
            <w:hideMark/>
          </w:tcPr>
          <w:p w14:paraId="2F07B96C"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16.37</w:t>
            </w:r>
          </w:p>
        </w:tc>
        <w:tc>
          <w:tcPr>
            <w:tcW w:w="1220" w:type="dxa"/>
            <w:noWrap/>
            <w:hideMark/>
          </w:tcPr>
          <w:p w14:paraId="56613D19" w14:textId="77777777" w:rsidR="00242E01" w:rsidRPr="00093EBB" w:rsidRDefault="00242E01" w:rsidP="00242E01">
            <w:pPr>
              <w:spacing w:before="100" w:beforeAutospacing="1" w:after="100" w:afterAutospacing="1" w:line="312" w:lineRule="auto"/>
              <w:jc w:val="both"/>
              <w:rPr>
                <w:sz w:val="26"/>
                <w:szCs w:val="26"/>
              </w:rPr>
            </w:pPr>
            <w:r w:rsidRPr="00093EBB">
              <w:rPr>
                <w:sz w:val="26"/>
                <w:szCs w:val="26"/>
              </w:rPr>
              <w:t>16.99</w:t>
            </w:r>
          </w:p>
        </w:tc>
      </w:tr>
    </w:tbl>
    <w:p w14:paraId="710D7646" w14:textId="54A45141" w:rsidR="00242E01" w:rsidRPr="00093EBB" w:rsidRDefault="00242E01" w:rsidP="000B3766">
      <w:pPr>
        <w:spacing w:before="100" w:beforeAutospacing="1" w:after="100" w:afterAutospacing="1" w:line="312" w:lineRule="auto"/>
        <w:jc w:val="both"/>
        <w:rPr>
          <w:sz w:val="26"/>
          <w:szCs w:val="26"/>
          <w:lang w:val="sv-SE"/>
        </w:rPr>
      </w:pPr>
      <w:r w:rsidRPr="00093EBB">
        <w:rPr>
          <w:sz w:val="26"/>
          <w:szCs w:val="26"/>
          <w:lang w:val="sv-SE"/>
        </w:rPr>
        <w:fldChar w:fldCharType="end"/>
      </w:r>
      <w:r w:rsidRPr="00093EBB">
        <w:rPr>
          <w:sz w:val="26"/>
          <w:szCs w:val="26"/>
          <w:lang w:val="sv-SE"/>
        </w:rPr>
        <w:t>(Nguồn: tính toán của tác giả từ số liệu quyết toán NSNN hàng năm)</w:t>
      </w:r>
    </w:p>
    <w:p w14:paraId="37FE261B" w14:textId="5A4B16EF" w:rsidR="004D394A" w:rsidRPr="00093EBB" w:rsidRDefault="006B5D03" w:rsidP="000B3766">
      <w:pPr>
        <w:spacing w:before="100" w:beforeAutospacing="1" w:after="100" w:afterAutospacing="1" w:line="312" w:lineRule="auto"/>
        <w:jc w:val="both"/>
        <w:rPr>
          <w:sz w:val="26"/>
          <w:szCs w:val="26"/>
          <w:lang w:val="sv-SE"/>
        </w:rPr>
      </w:pPr>
      <w:r w:rsidRPr="00093EBB">
        <w:rPr>
          <w:sz w:val="26"/>
          <w:szCs w:val="26"/>
          <w:lang w:val="sv-SE"/>
        </w:rPr>
        <w:tab/>
      </w:r>
      <w:r w:rsidR="008D66F7" w:rsidRPr="00093EBB">
        <w:rPr>
          <w:b/>
          <w:bCs/>
          <w:sz w:val="26"/>
          <w:szCs w:val="26"/>
          <w:lang w:val="sv-SE"/>
        </w:rPr>
        <w:t xml:space="preserve">+ Thứ </w:t>
      </w:r>
      <w:r w:rsidR="0020314C" w:rsidRPr="00093EBB">
        <w:rPr>
          <w:b/>
          <w:bCs/>
          <w:sz w:val="26"/>
          <w:szCs w:val="26"/>
          <w:lang w:val="sv-SE"/>
        </w:rPr>
        <w:t>năm</w:t>
      </w:r>
      <w:r w:rsidR="008D66F7" w:rsidRPr="00093EBB">
        <w:rPr>
          <w:b/>
          <w:bCs/>
          <w:sz w:val="26"/>
          <w:szCs w:val="26"/>
          <w:lang w:val="sv-SE"/>
        </w:rPr>
        <w:t xml:space="preserve">, </w:t>
      </w:r>
      <w:r w:rsidR="008D66F7" w:rsidRPr="00093EBB">
        <w:rPr>
          <w:sz w:val="26"/>
          <w:szCs w:val="26"/>
          <w:lang w:val="sv-SE"/>
        </w:rPr>
        <w:t xml:space="preserve">rủi ro bất ổn từ quá trình thay đổi chính sách vĩ mô toàn cầu trong đó có vấn đề chuyển đổi mô hình tiêu dùng và </w:t>
      </w:r>
      <w:r w:rsidR="00D10CE8" w:rsidRPr="00093EBB">
        <w:rPr>
          <w:sz w:val="26"/>
          <w:szCs w:val="26"/>
          <w:lang w:val="sv-SE"/>
        </w:rPr>
        <w:t>xung đột khu vực</w:t>
      </w:r>
      <w:r w:rsidR="008D66F7" w:rsidRPr="00093EBB">
        <w:rPr>
          <w:sz w:val="26"/>
          <w:szCs w:val="26"/>
          <w:lang w:val="sv-SE"/>
        </w:rPr>
        <w:t>.</w:t>
      </w:r>
      <w:r w:rsidR="000B3766" w:rsidRPr="00093EBB">
        <w:rPr>
          <w:sz w:val="26"/>
          <w:szCs w:val="26"/>
          <w:lang w:val="sv-SE"/>
        </w:rPr>
        <w:t xml:space="preserve"> </w:t>
      </w:r>
      <w:r w:rsidR="004D394A" w:rsidRPr="00093EBB">
        <w:rPr>
          <w:sz w:val="26"/>
          <w:szCs w:val="26"/>
          <w:lang w:val="sv-SE"/>
        </w:rPr>
        <w:tab/>
        <w:t>Các dự báo của các tổ chức kinh tế đều cho thấy cho năm 2023 tăng trưởng kinh tế thế giới sẽ  yếu đi. Ba nền kinh tế lớn nhất thế giới, gồm Trung Quốc, khu vực đồng Euro và Hoa Kỳ, sẽ tăng trưởng chậm lại đáng kể vào năm 2023, phản ánh các nguy cơ rủi ro trở thành hiện thực: thắt chặt các điều kiện tài chính toàn cầu ở hầu hết các khu vực, kỳ vọng tăng lãi suất mạnh hơn của các ngân hàng trung ương lớn để chống lạm phát; giảm tăng trưởng rõ rệt hơn ở Trung Quốc do thời gian phong tỏa kéo dài và khủng hoảng thị trường bất động sản ngày càng trầm trọng; tác động lan tỏa từ cuộc xung đột tại U-crai-na với nguồn cung khí đốt từ Nga sang châu Âu bị thắt chặt.</w:t>
      </w:r>
    </w:p>
    <w:p w14:paraId="1A3F7687" w14:textId="058D9312" w:rsidR="00483CE6" w:rsidRPr="00093EBB" w:rsidRDefault="00483CE6" w:rsidP="00483CE6">
      <w:pPr>
        <w:spacing w:before="100" w:beforeAutospacing="1" w:after="100" w:afterAutospacing="1" w:line="312" w:lineRule="auto"/>
        <w:ind w:firstLine="720"/>
        <w:jc w:val="both"/>
        <w:rPr>
          <w:bCs/>
          <w:sz w:val="26"/>
          <w:szCs w:val="26"/>
          <w:lang w:val="sv-SE"/>
        </w:rPr>
      </w:pPr>
      <w:r w:rsidRPr="00093EBB">
        <w:rPr>
          <w:bCs/>
          <w:sz w:val="26"/>
          <w:szCs w:val="26"/>
          <w:lang w:val="sv-SE"/>
        </w:rPr>
        <w:t>N</w:t>
      </w:r>
      <w:r w:rsidRPr="00093EBB">
        <w:rPr>
          <w:bCs/>
          <w:sz w:val="26"/>
          <w:szCs w:val="26"/>
          <w:lang w:val="sv-SE"/>
        </w:rPr>
        <w:t>ăm 2023, khó khăn của nền kinh tế đã làm IMF đã hạ dự báo tăng trưởng của Việt Nam năm 2023 chỉ còn 4,7 %, tức giảm 1,1% so với dự báo trước đó</w:t>
      </w:r>
      <w:r w:rsidRPr="00093EBB">
        <w:rPr>
          <w:rStyle w:val="FootnoteReference"/>
          <w:bCs/>
          <w:sz w:val="26"/>
          <w:szCs w:val="26"/>
          <w:lang w:val="sv-SE"/>
        </w:rPr>
        <w:footnoteReference w:id="2"/>
      </w:r>
      <w:r w:rsidRPr="00093EBB">
        <w:rPr>
          <w:bCs/>
          <w:sz w:val="26"/>
          <w:szCs w:val="26"/>
          <w:lang w:val="sv-SE"/>
        </w:rPr>
        <w:t>). WB cũng dự kiến tăng trưởng 4,7% trong năm 2023, với dự báo phục hồi dần lên 5,5% vào năm 2024 và 6% vào năm 2025. Tuy có chững lại nhưng cầu trong nước dự kiến vẫn là động lực tăng trưởng chính trong năm 2023. Tiêu dùng tư nhân sẽ vẫn đứng vững - với tốc độ tăng 6% (so cùng kỳ), tuy có giảm nhẹ xuống dưới mức tăng trước đạt dịch là 7% (so cùng kỳ) vào năm 2019, đóng góp 3,4 điểm phần trăm cho tăng trưởng GDP.</w:t>
      </w:r>
    </w:p>
    <w:p w14:paraId="39E2041F" w14:textId="6D3F2D86" w:rsidR="006B5D03" w:rsidRPr="00093EBB" w:rsidRDefault="008D66F7" w:rsidP="000B3766">
      <w:pPr>
        <w:spacing w:before="100" w:beforeAutospacing="1" w:after="100" w:afterAutospacing="1" w:line="312" w:lineRule="auto"/>
        <w:jc w:val="both"/>
        <w:rPr>
          <w:b/>
          <w:bCs/>
          <w:sz w:val="26"/>
          <w:szCs w:val="26"/>
          <w:lang w:val="sv-SE"/>
        </w:rPr>
      </w:pPr>
      <w:r w:rsidRPr="00093EBB">
        <w:rPr>
          <w:b/>
          <w:bCs/>
          <w:sz w:val="26"/>
          <w:szCs w:val="26"/>
          <w:lang w:val="sv-SE"/>
        </w:rPr>
        <w:t xml:space="preserve">3. Một số </w:t>
      </w:r>
      <w:r w:rsidR="006557D5" w:rsidRPr="00093EBB">
        <w:rPr>
          <w:b/>
          <w:bCs/>
          <w:sz w:val="26"/>
          <w:szCs w:val="26"/>
          <w:lang w:val="sv-SE"/>
        </w:rPr>
        <w:t>gợi ý</w:t>
      </w:r>
      <w:r w:rsidRPr="00093EBB">
        <w:rPr>
          <w:b/>
          <w:bCs/>
          <w:sz w:val="26"/>
          <w:szCs w:val="26"/>
          <w:lang w:val="sv-SE"/>
        </w:rPr>
        <w:t xml:space="preserve"> chính sách tài khóa cho năm </w:t>
      </w:r>
      <w:r w:rsidR="00E94B91" w:rsidRPr="00093EBB">
        <w:rPr>
          <w:b/>
          <w:bCs/>
          <w:sz w:val="26"/>
          <w:szCs w:val="26"/>
          <w:lang w:val="sv-SE"/>
        </w:rPr>
        <w:t>202</w:t>
      </w:r>
      <w:r w:rsidR="00483CE6" w:rsidRPr="00093EBB">
        <w:rPr>
          <w:b/>
          <w:bCs/>
          <w:sz w:val="26"/>
          <w:szCs w:val="26"/>
          <w:lang w:val="sv-SE"/>
        </w:rPr>
        <w:t>4</w:t>
      </w:r>
      <w:r w:rsidRPr="00093EBB">
        <w:rPr>
          <w:b/>
          <w:bCs/>
          <w:sz w:val="26"/>
          <w:szCs w:val="26"/>
          <w:lang w:val="sv-SE"/>
        </w:rPr>
        <w:t xml:space="preserve"> và trung hạn </w:t>
      </w:r>
      <w:r w:rsidR="00483CE6" w:rsidRPr="00093EBB">
        <w:rPr>
          <w:b/>
          <w:bCs/>
          <w:sz w:val="26"/>
          <w:szCs w:val="26"/>
          <w:lang w:val="sv-SE"/>
        </w:rPr>
        <w:t>đến 2030</w:t>
      </w:r>
    </w:p>
    <w:p w14:paraId="60234C19" w14:textId="77777777" w:rsidR="00D9033E" w:rsidRPr="00093EBB" w:rsidRDefault="0045319E" w:rsidP="00D9033E">
      <w:pPr>
        <w:spacing w:before="100" w:beforeAutospacing="1" w:after="100" w:afterAutospacing="1" w:line="312" w:lineRule="auto"/>
        <w:jc w:val="both"/>
        <w:rPr>
          <w:i/>
          <w:iCs/>
          <w:sz w:val="26"/>
          <w:szCs w:val="26"/>
          <w:lang w:val="sv-SE"/>
        </w:rPr>
      </w:pPr>
      <w:r w:rsidRPr="00093EBB">
        <w:rPr>
          <w:b/>
          <w:bCs/>
          <w:i/>
          <w:iCs/>
          <w:sz w:val="26"/>
          <w:szCs w:val="26"/>
          <w:lang w:val="sv-SE"/>
        </w:rPr>
        <w:lastRenderedPageBreak/>
        <w:t xml:space="preserve">Thứ </w:t>
      </w:r>
      <w:r w:rsidR="008D66F7" w:rsidRPr="00093EBB">
        <w:rPr>
          <w:b/>
          <w:bCs/>
          <w:i/>
          <w:iCs/>
          <w:sz w:val="26"/>
          <w:szCs w:val="26"/>
          <w:lang w:val="sv-SE"/>
        </w:rPr>
        <w:t>nhất</w:t>
      </w:r>
      <w:r w:rsidRPr="00093EBB">
        <w:rPr>
          <w:i/>
          <w:iCs/>
          <w:sz w:val="26"/>
          <w:szCs w:val="26"/>
          <w:lang w:val="sv-SE"/>
        </w:rPr>
        <w:t xml:space="preserve">,  cần có giải pháp chính sách </w:t>
      </w:r>
      <w:r w:rsidR="002C63B8" w:rsidRPr="00093EBB">
        <w:rPr>
          <w:i/>
          <w:iCs/>
          <w:sz w:val="26"/>
          <w:szCs w:val="26"/>
          <w:lang w:val="sv-SE"/>
        </w:rPr>
        <w:t xml:space="preserve">nâng cao năng lực </w:t>
      </w:r>
      <w:r w:rsidRPr="00093EBB">
        <w:rPr>
          <w:i/>
          <w:iCs/>
          <w:sz w:val="26"/>
          <w:szCs w:val="26"/>
          <w:lang w:val="sv-SE"/>
        </w:rPr>
        <w:t xml:space="preserve">theo dõi và đánh giá về công tác lập dự toán </w:t>
      </w:r>
      <w:r w:rsidR="00D9033E" w:rsidRPr="00093EBB">
        <w:rPr>
          <w:i/>
          <w:iCs/>
          <w:sz w:val="26"/>
          <w:szCs w:val="26"/>
          <w:lang w:val="sv-SE"/>
        </w:rPr>
        <w:t xml:space="preserve">và chấp hành dự toán </w:t>
      </w:r>
    </w:p>
    <w:p w14:paraId="10BC4E33" w14:textId="43D57971" w:rsidR="0045319E" w:rsidRPr="00093EBB" w:rsidRDefault="002C63B8" w:rsidP="000B3766">
      <w:pPr>
        <w:spacing w:before="100" w:beforeAutospacing="1" w:after="100" w:afterAutospacing="1" w:line="312" w:lineRule="auto"/>
        <w:ind w:firstLine="720"/>
        <w:jc w:val="both"/>
        <w:rPr>
          <w:sz w:val="26"/>
          <w:szCs w:val="26"/>
          <w:lang w:val="sv-SE"/>
        </w:rPr>
      </w:pPr>
      <w:r w:rsidRPr="00093EBB">
        <w:rPr>
          <w:sz w:val="26"/>
          <w:szCs w:val="26"/>
          <w:lang w:val="sv-SE"/>
        </w:rPr>
        <w:t>Với dự toán thu NSNN, việc vượt thu NSNN là tốt song nếu số vượt thu quá cao cũng có cho thấy những vấn đề nhất định trong công tác lập dự toán</w:t>
      </w:r>
      <w:r w:rsidRPr="00093EBB">
        <w:rPr>
          <w:rStyle w:val="FootnoteReference"/>
          <w:sz w:val="26"/>
          <w:szCs w:val="26"/>
          <w:lang w:val="sv-SE"/>
        </w:rPr>
        <w:footnoteReference w:id="3"/>
      </w:r>
      <w:r w:rsidRPr="00093EBB">
        <w:rPr>
          <w:sz w:val="26"/>
          <w:szCs w:val="26"/>
          <w:lang w:val="sv-SE"/>
        </w:rPr>
        <w:t xml:space="preserve">. </w:t>
      </w:r>
      <w:r w:rsidR="0045319E" w:rsidRPr="00093EBB">
        <w:rPr>
          <w:sz w:val="26"/>
          <w:szCs w:val="26"/>
          <w:lang w:val="sv-SE"/>
        </w:rPr>
        <w:t>Dù chính phủ có những biện pháp mạnh mẽ thì việc thực hiện dự toán chi tiêu từ ngân sách nhà nước vẫn luôn có nhiều thách thức nhất là với chi đầu tư. Số liệu cho thấy việc lập dự toán và chấp hành dự toán đúng luôn là vấn đề chưa được giải quyết khi mà số ngân sách chuyển nguồn hàng năm luôn rất cao (tỷ lệ này giảm đi đôi chút vào giai đoạn 2012-2014 và lại tăng cao trở lại vài năm gần đây). Khi mà ngân sách chuyển nguồn quá lớn lên tới gần 40 % tổng chi cân đối NSNN (2019</w:t>
      </w:r>
      <w:r w:rsidR="00F079F0" w:rsidRPr="00093EBB">
        <w:rPr>
          <w:sz w:val="26"/>
          <w:szCs w:val="26"/>
          <w:lang w:val="sv-SE"/>
        </w:rPr>
        <w:t>-2020</w:t>
      </w:r>
      <w:r w:rsidR="0045319E" w:rsidRPr="00093EBB">
        <w:rPr>
          <w:sz w:val="26"/>
          <w:szCs w:val="26"/>
          <w:lang w:val="sv-SE"/>
        </w:rPr>
        <w:t xml:space="preserve">) thì hiệu quả của chính sách tài khóa </w:t>
      </w:r>
      <w:r w:rsidR="00D66B40" w:rsidRPr="00093EBB">
        <w:rPr>
          <w:sz w:val="26"/>
          <w:szCs w:val="26"/>
          <w:lang w:val="sv-SE"/>
        </w:rPr>
        <w:t xml:space="preserve">đến tăng trưởng kinh tế </w:t>
      </w:r>
      <w:r w:rsidR="0045319E" w:rsidRPr="00093EBB">
        <w:rPr>
          <w:sz w:val="26"/>
          <w:szCs w:val="26"/>
          <w:lang w:val="sv-SE"/>
        </w:rPr>
        <w:t>trong năm sẽ bị ảnh hưởng rất lớn.</w:t>
      </w:r>
    </w:p>
    <w:p w14:paraId="18F9B391" w14:textId="7A3AD19E" w:rsidR="002C63B8" w:rsidRPr="00093EBB" w:rsidRDefault="00B03050" w:rsidP="002C63B8">
      <w:pPr>
        <w:spacing w:before="100" w:beforeAutospacing="1" w:after="100" w:afterAutospacing="1" w:line="312" w:lineRule="auto"/>
        <w:ind w:firstLine="720"/>
        <w:contextualSpacing/>
        <w:jc w:val="both"/>
        <w:rPr>
          <w:bCs/>
          <w:iCs/>
          <w:sz w:val="26"/>
          <w:szCs w:val="26"/>
          <w:lang w:val="vi-VN"/>
        </w:rPr>
      </w:pPr>
      <w:r w:rsidRPr="00093EBB">
        <w:rPr>
          <w:sz w:val="26"/>
          <w:szCs w:val="26"/>
          <w:lang w:val="sv-SE"/>
        </w:rPr>
        <w:t>Do vậy, cần tiếp tục thực hiện các biện pháp chủ động, quyết liệt và tích cực trong việc tiết kiệm chi tiêu từ NSNN, phối hợp các bộ ngành và địa phương trong lập và chấp hành dự toán chi đầu tư. Việc hoàn thiện khuôn khổ pháp lý cho quản lý và phân bổ chi đầu tư công cần tiếp tục được thực hiện để phù hợp hơn với điều kiện thực thi chính sách ở Việt nam. Việc quy định rõ ràng về trách</w:t>
      </w:r>
      <w:r w:rsidRPr="00093EBB">
        <w:rPr>
          <w:bCs/>
          <w:iCs/>
          <w:sz w:val="26"/>
          <w:szCs w:val="26"/>
          <w:lang w:val="vi-VN"/>
        </w:rPr>
        <w:t xml:space="preserve"> nhiệm, trách nhiệm giải trình và phân cấp quản lý chi đầu tư chính luôn là hết sức cần thiết.</w:t>
      </w:r>
      <w:r w:rsidR="002C63B8" w:rsidRPr="00093EBB">
        <w:rPr>
          <w:bCs/>
          <w:iCs/>
          <w:sz w:val="26"/>
          <w:szCs w:val="26"/>
          <w:lang w:val="vi-VN"/>
        </w:rPr>
        <w:t xml:space="preserve"> Đặc biệt cần rất chú trọng đến việc lập kế hoạch và giải ngân đầu tư công để tránh tình trạng ”no dồn, đói góp” trong chi đầu tư. Trong đó, cũng cần tháo gỡ các quy định ảnh hưởng đến giải ngân chi đầu tư nói chung và chi đầu tư từ nguồn vốn ODA nói riêng. Có thể xem xét điều chỉnh các khoản đầu tư cho nhà ở xã hội sang hình thức hỗ trợ doanh nghiệp xây nhà ở xã hội bằng nguồn vốn đối ứng của doanh nghiệp và hỗ trợ xây nhà cho thuê tại các khu công nghiệp, khu chế xuất…</w:t>
      </w:r>
    </w:p>
    <w:p w14:paraId="05B9CC0B" w14:textId="77777777" w:rsidR="00483CE6" w:rsidRPr="00093EBB" w:rsidRDefault="00483CE6" w:rsidP="000B3766">
      <w:pPr>
        <w:spacing w:before="100" w:beforeAutospacing="1" w:after="100" w:afterAutospacing="1" w:line="312" w:lineRule="auto"/>
        <w:contextualSpacing/>
        <w:jc w:val="both"/>
        <w:rPr>
          <w:b/>
          <w:i/>
          <w:sz w:val="26"/>
          <w:szCs w:val="26"/>
          <w:lang w:val="vi-VN"/>
        </w:rPr>
      </w:pPr>
    </w:p>
    <w:p w14:paraId="0729BBA1" w14:textId="0CF7490A" w:rsidR="0045319E" w:rsidRPr="00093EBB" w:rsidRDefault="0045319E" w:rsidP="000B3766">
      <w:pPr>
        <w:spacing w:before="100" w:beforeAutospacing="1" w:after="100" w:afterAutospacing="1" w:line="312" w:lineRule="auto"/>
        <w:contextualSpacing/>
        <w:jc w:val="both"/>
        <w:rPr>
          <w:bCs/>
          <w:i/>
          <w:sz w:val="26"/>
          <w:szCs w:val="26"/>
          <w:lang w:val="vi-VN"/>
        </w:rPr>
      </w:pPr>
      <w:r w:rsidRPr="00093EBB">
        <w:rPr>
          <w:b/>
          <w:i/>
          <w:sz w:val="26"/>
          <w:szCs w:val="26"/>
          <w:lang w:val="vi-VN"/>
        </w:rPr>
        <w:t xml:space="preserve">Thứ </w:t>
      </w:r>
      <w:r w:rsidR="00D9033E" w:rsidRPr="00093EBB">
        <w:rPr>
          <w:b/>
          <w:i/>
          <w:sz w:val="26"/>
          <w:szCs w:val="26"/>
          <w:lang w:val="vi-VN"/>
        </w:rPr>
        <w:t>hai</w:t>
      </w:r>
      <w:r w:rsidRPr="00093EBB">
        <w:rPr>
          <w:b/>
          <w:i/>
          <w:sz w:val="26"/>
          <w:szCs w:val="26"/>
          <w:lang w:val="vi-VN"/>
        </w:rPr>
        <w:t>,</w:t>
      </w:r>
      <w:r w:rsidRPr="00093EBB">
        <w:rPr>
          <w:bCs/>
          <w:i/>
          <w:sz w:val="26"/>
          <w:szCs w:val="26"/>
          <w:lang w:val="vi-VN"/>
        </w:rPr>
        <w:t xml:space="preserve"> bối cảnh kinh tế xã hội giai đoạn 202</w:t>
      </w:r>
      <w:r w:rsidR="00E94B91" w:rsidRPr="00093EBB">
        <w:rPr>
          <w:bCs/>
          <w:i/>
          <w:sz w:val="26"/>
          <w:szCs w:val="26"/>
          <w:lang w:val="vi-VN"/>
        </w:rPr>
        <w:t>3</w:t>
      </w:r>
      <w:r w:rsidRPr="00093EBB">
        <w:rPr>
          <w:bCs/>
          <w:i/>
          <w:sz w:val="26"/>
          <w:szCs w:val="26"/>
          <w:lang w:val="vi-VN"/>
        </w:rPr>
        <w:t>-2025 có những thay đổi rất lớn do tác động của Covid-19</w:t>
      </w:r>
      <w:r w:rsidR="00F079F0" w:rsidRPr="00093EBB">
        <w:rPr>
          <w:bCs/>
          <w:i/>
          <w:sz w:val="26"/>
          <w:szCs w:val="26"/>
          <w:lang w:val="vi-VN"/>
        </w:rPr>
        <w:t xml:space="preserve"> và tình hình kinh tế chính trị thế giới</w:t>
      </w:r>
      <w:r w:rsidRPr="00093EBB">
        <w:rPr>
          <w:bCs/>
          <w:i/>
          <w:sz w:val="26"/>
          <w:szCs w:val="26"/>
          <w:lang w:val="vi-VN"/>
        </w:rPr>
        <w:t xml:space="preserve">, vì vậy Kế hoạch tài chính 5 năm và Kế hoạch tài chính - ngân sách nhà nước (NSNN) 3 năm cần có những thay đổi để phù hợp với tình hình mới. </w:t>
      </w:r>
    </w:p>
    <w:p w14:paraId="618F3CB9" w14:textId="21A4926C" w:rsidR="0045319E" w:rsidRPr="00093EBB" w:rsidRDefault="0045319E" w:rsidP="000B3766">
      <w:pPr>
        <w:spacing w:before="100" w:beforeAutospacing="1" w:after="100" w:afterAutospacing="1" w:line="312" w:lineRule="auto"/>
        <w:ind w:firstLine="720"/>
        <w:contextualSpacing/>
        <w:jc w:val="both"/>
        <w:rPr>
          <w:bCs/>
          <w:iCs/>
          <w:sz w:val="26"/>
          <w:szCs w:val="26"/>
          <w:lang w:val="vi-VN"/>
        </w:rPr>
      </w:pPr>
      <w:r w:rsidRPr="00093EBB">
        <w:rPr>
          <w:bCs/>
          <w:iCs/>
          <w:sz w:val="26"/>
          <w:szCs w:val="26"/>
          <w:lang w:val="vi-VN"/>
        </w:rPr>
        <w:t>Việc tiếp tục lập ngân sách theo mô hình đầu vào đã bộc lộ những hạn chế rất lớn khi đối phó với dịch bệnh vì vậy cần nhanh chóng triển khai áp dụng việc lập kế hoạch ngân sách theo đầu ra, đặc biệt với ngành y tế.</w:t>
      </w:r>
      <w:r w:rsidR="00E94B91" w:rsidRPr="00093EBB">
        <w:rPr>
          <w:bCs/>
          <w:iCs/>
          <w:sz w:val="26"/>
          <w:szCs w:val="26"/>
          <w:lang w:val="vi-VN"/>
        </w:rPr>
        <w:t xml:space="preserve"> </w:t>
      </w:r>
      <w:r w:rsidRPr="00093EBB">
        <w:rPr>
          <w:bCs/>
          <w:iCs/>
          <w:sz w:val="26"/>
          <w:szCs w:val="26"/>
          <w:lang w:val="vi-VN"/>
        </w:rPr>
        <w:t>Dịch bệnh Covid -19 cũng đã có những tác động rất lớn đến cơ cấu kinh tế và lao động không chỉ năm 202</w:t>
      </w:r>
      <w:r w:rsidR="00F079F0" w:rsidRPr="00093EBB">
        <w:rPr>
          <w:bCs/>
          <w:iCs/>
          <w:sz w:val="26"/>
          <w:szCs w:val="26"/>
          <w:lang w:val="vi-VN"/>
        </w:rPr>
        <w:t>1-2022</w:t>
      </w:r>
      <w:r w:rsidRPr="00093EBB">
        <w:rPr>
          <w:bCs/>
          <w:iCs/>
          <w:sz w:val="26"/>
          <w:szCs w:val="26"/>
          <w:lang w:val="vi-VN"/>
        </w:rPr>
        <w:t xml:space="preserve"> mà cho cả giai đoạn 2021-2025. </w:t>
      </w:r>
      <w:r w:rsidRPr="00093EBB">
        <w:rPr>
          <w:bCs/>
          <w:iCs/>
          <w:sz w:val="26"/>
          <w:szCs w:val="26"/>
          <w:lang w:val="vi-VN"/>
        </w:rPr>
        <w:lastRenderedPageBreak/>
        <w:t xml:space="preserve">Hàng loạt vấn đề về đào tạo lại lao động, đảm bảo môi trường an toàn cho lao động di cư (nhà ở, trường học, bệnh viện) đặt ra những yêu cầu mới trong lập kế hoạch tài chính, đầu tư trung hạn. </w:t>
      </w:r>
    </w:p>
    <w:p w14:paraId="0299B18A" w14:textId="6E72A5B8" w:rsidR="0045319E" w:rsidRPr="00093EBB" w:rsidRDefault="0045319E" w:rsidP="000B3766">
      <w:pPr>
        <w:spacing w:before="100" w:beforeAutospacing="1" w:after="100" w:afterAutospacing="1" w:line="312" w:lineRule="auto"/>
        <w:contextualSpacing/>
        <w:jc w:val="both"/>
        <w:rPr>
          <w:bCs/>
          <w:i/>
          <w:sz w:val="26"/>
          <w:szCs w:val="26"/>
          <w:lang w:val="vi-VN"/>
        </w:rPr>
      </w:pPr>
      <w:r w:rsidRPr="00093EBB">
        <w:rPr>
          <w:b/>
          <w:i/>
          <w:sz w:val="26"/>
          <w:szCs w:val="26"/>
          <w:lang w:val="vi-VN"/>
        </w:rPr>
        <w:t>+ Thứ</w:t>
      </w:r>
      <w:r w:rsidR="00534AAE" w:rsidRPr="00093EBB">
        <w:rPr>
          <w:b/>
          <w:i/>
          <w:sz w:val="26"/>
          <w:szCs w:val="26"/>
          <w:lang w:val="vi-VN"/>
        </w:rPr>
        <w:t xml:space="preserve"> ba</w:t>
      </w:r>
      <w:r w:rsidRPr="00093EBB">
        <w:rPr>
          <w:bCs/>
          <w:i/>
          <w:sz w:val="26"/>
          <w:szCs w:val="26"/>
          <w:lang w:val="vi-VN"/>
        </w:rPr>
        <w:t xml:space="preserve">, </w:t>
      </w:r>
      <w:r w:rsidR="00381AD9" w:rsidRPr="00093EBB">
        <w:rPr>
          <w:bCs/>
          <w:i/>
          <w:sz w:val="26"/>
          <w:szCs w:val="26"/>
          <w:lang w:val="vi-VN"/>
        </w:rPr>
        <w:t xml:space="preserve">điều chỉnh </w:t>
      </w:r>
      <w:r w:rsidRPr="00093EBB">
        <w:rPr>
          <w:bCs/>
          <w:i/>
          <w:sz w:val="26"/>
          <w:szCs w:val="26"/>
          <w:lang w:val="vi-VN"/>
        </w:rPr>
        <w:t>quy mô và cơ cấu chi trong ngân sách nhà nước</w:t>
      </w:r>
    </w:p>
    <w:p w14:paraId="1A9C6424" w14:textId="4725BECC" w:rsidR="00032995" w:rsidRPr="00093EBB" w:rsidRDefault="00534AAE" w:rsidP="000B3766">
      <w:pPr>
        <w:spacing w:before="100" w:beforeAutospacing="1" w:after="100" w:afterAutospacing="1" w:line="312" w:lineRule="auto"/>
        <w:ind w:firstLine="720"/>
        <w:contextualSpacing/>
        <w:jc w:val="both"/>
        <w:rPr>
          <w:bCs/>
          <w:iCs/>
          <w:sz w:val="26"/>
          <w:szCs w:val="26"/>
          <w:lang w:val="vi-VN"/>
        </w:rPr>
      </w:pPr>
      <w:r w:rsidRPr="00093EBB">
        <w:rPr>
          <w:bCs/>
          <w:iCs/>
          <w:sz w:val="26"/>
          <w:szCs w:val="26"/>
          <w:lang w:val="vi-VN"/>
        </w:rPr>
        <w:t xml:space="preserve">Chi đầu tư cho xây mới là quan trọng nhưng chi đầu tư cho cải tạo, nâng cấp và đặc biệt là chi thường xuyên cho duy tu bảo dưỡng hệ thống cơ sở hạ tầng cũng rất cần thiết. Dù điều này không mới nhưng việc cắt giảm chi thường xuyên một cách máy móc sẽ có rủi ro làm giảm hiệu quả sử dụng cơ sở hạ tầng. Hơn nữa, giảm chi thường xuyên một cách máy móc nhất là ở các địa phương dễ có nguy cơ làm trầm trọng hơn các vấn đề về thiếu biên chế cho ngành y tế và giáo dục hiện nay. </w:t>
      </w:r>
    </w:p>
    <w:p w14:paraId="1D4D8E69" w14:textId="756FB24F" w:rsidR="00F62F82" w:rsidRPr="00093EBB" w:rsidRDefault="00E74917" w:rsidP="000B3766">
      <w:pPr>
        <w:spacing w:before="100" w:beforeAutospacing="1" w:after="100" w:afterAutospacing="1" w:line="312" w:lineRule="auto"/>
        <w:ind w:firstLine="720"/>
        <w:contextualSpacing/>
        <w:jc w:val="both"/>
        <w:rPr>
          <w:bCs/>
          <w:iCs/>
          <w:sz w:val="26"/>
          <w:szCs w:val="26"/>
          <w:lang w:val="vi-VN"/>
        </w:rPr>
      </w:pPr>
      <w:r w:rsidRPr="00093EBB">
        <w:rPr>
          <w:bCs/>
          <w:iCs/>
          <w:sz w:val="26"/>
          <w:szCs w:val="26"/>
          <w:lang w:val="vi-VN"/>
        </w:rPr>
        <w:t xml:space="preserve">Gói hỗ trợ tài khóa cần tiếp tục tập trung vào </w:t>
      </w:r>
      <w:r w:rsidR="002C63B8" w:rsidRPr="00093EBB">
        <w:rPr>
          <w:bCs/>
          <w:iCs/>
          <w:sz w:val="26"/>
          <w:szCs w:val="26"/>
          <w:lang w:val="vi-VN"/>
        </w:rPr>
        <w:t xml:space="preserve">chi </w:t>
      </w:r>
      <w:r w:rsidRPr="00093EBB">
        <w:rPr>
          <w:bCs/>
          <w:iCs/>
          <w:sz w:val="26"/>
          <w:szCs w:val="26"/>
          <w:lang w:val="vi-VN"/>
        </w:rPr>
        <w:t>đầu tư cơ sở hạ tầng (các dự án án có tính liên vùng, đã hoàn thành cơ bản các thủ tục đầu tư), chi cho đào tạo lại lao động (chuyển đổi nghề nghiệp), chi cho xây dựng các khu nhà ở xã hội, các dự án cải tạo chung cư cũ...</w:t>
      </w:r>
    </w:p>
    <w:p w14:paraId="05F36DDB" w14:textId="16483671" w:rsidR="00F62F82" w:rsidRPr="00093EBB" w:rsidRDefault="00F62F82" w:rsidP="000B3766">
      <w:pPr>
        <w:spacing w:before="100" w:beforeAutospacing="1" w:after="100" w:afterAutospacing="1" w:line="312" w:lineRule="auto"/>
        <w:ind w:firstLine="720"/>
        <w:contextualSpacing/>
        <w:jc w:val="both"/>
        <w:rPr>
          <w:bCs/>
          <w:iCs/>
          <w:sz w:val="26"/>
          <w:szCs w:val="26"/>
          <w:lang w:val="vi-VN"/>
        </w:rPr>
      </w:pPr>
      <w:r w:rsidRPr="00093EBB">
        <w:rPr>
          <w:bCs/>
          <w:iCs/>
          <w:sz w:val="26"/>
          <w:szCs w:val="26"/>
          <w:lang w:val="vi-VN"/>
        </w:rPr>
        <w:t>Xem xét điều chỉnh các gói hỗ trợ không còn phù hợp với bối cảnh mới</w:t>
      </w:r>
      <w:r w:rsidR="001B1E89" w:rsidRPr="00093EBB">
        <w:rPr>
          <w:bCs/>
          <w:iCs/>
          <w:sz w:val="26"/>
          <w:szCs w:val="26"/>
          <w:lang w:val="vi-VN"/>
        </w:rPr>
        <w:t xml:space="preserve">. Nguyên tắc chung của việc thực hiện chính sách tài khóa nên là đơn giản về quy trình, dễ xác định đối tượng hưởng lợi và không tạo ra cơ hội cho tham nhũng chính sách. </w:t>
      </w:r>
    </w:p>
    <w:p w14:paraId="58AC87AB" w14:textId="47F71285" w:rsidR="000B3766" w:rsidRPr="00093EBB" w:rsidRDefault="003973DA" w:rsidP="000B3766">
      <w:pPr>
        <w:spacing w:before="100" w:beforeAutospacing="1" w:after="100" w:afterAutospacing="1" w:line="312" w:lineRule="auto"/>
        <w:jc w:val="both"/>
        <w:rPr>
          <w:i/>
          <w:sz w:val="26"/>
          <w:szCs w:val="26"/>
          <w:lang w:val="de-DE"/>
        </w:rPr>
      </w:pPr>
      <w:r w:rsidRPr="00093EBB">
        <w:rPr>
          <w:b/>
          <w:bCs/>
          <w:i/>
          <w:sz w:val="26"/>
          <w:szCs w:val="26"/>
          <w:lang w:val="de-DE"/>
        </w:rPr>
        <w:t xml:space="preserve">+ Thứ </w:t>
      </w:r>
      <w:r w:rsidR="00534AAE" w:rsidRPr="00093EBB">
        <w:rPr>
          <w:b/>
          <w:bCs/>
          <w:i/>
          <w:sz w:val="26"/>
          <w:szCs w:val="26"/>
          <w:lang w:val="de-DE"/>
        </w:rPr>
        <w:t>tư</w:t>
      </w:r>
      <w:r w:rsidRPr="00093EBB">
        <w:rPr>
          <w:i/>
          <w:sz w:val="26"/>
          <w:szCs w:val="26"/>
          <w:lang w:val="de-DE"/>
        </w:rPr>
        <w:t xml:space="preserve">, vấn đề </w:t>
      </w:r>
      <w:r w:rsidR="001C049B" w:rsidRPr="00093EBB">
        <w:rPr>
          <w:i/>
          <w:sz w:val="26"/>
          <w:szCs w:val="26"/>
          <w:lang w:val="de-DE"/>
        </w:rPr>
        <w:t xml:space="preserve">huy động nguồn </w:t>
      </w:r>
      <w:r w:rsidR="0045319E" w:rsidRPr="00093EBB">
        <w:rPr>
          <w:i/>
          <w:sz w:val="26"/>
          <w:szCs w:val="26"/>
          <w:lang w:val="de-DE"/>
        </w:rPr>
        <w:t xml:space="preserve">ngân sách </w:t>
      </w:r>
      <w:r w:rsidR="00F02E22" w:rsidRPr="00093EBB">
        <w:rPr>
          <w:i/>
          <w:sz w:val="26"/>
          <w:szCs w:val="26"/>
          <w:lang w:val="de-DE"/>
        </w:rPr>
        <w:t>và vay nợ</w:t>
      </w:r>
    </w:p>
    <w:p w14:paraId="20D0CC5C" w14:textId="56F9F9A2" w:rsidR="00F91F92" w:rsidRPr="00093EBB" w:rsidRDefault="00235FEE" w:rsidP="000B3766">
      <w:pPr>
        <w:spacing w:before="100" w:beforeAutospacing="1" w:after="100" w:afterAutospacing="1" w:line="312" w:lineRule="auto"/>
        <w:ind w:firstLine="720"/>
        <w:jc w:val="both"/>
        <w:rPr>
          <w:sz w:val="26"/>
          <w:szCs w:val="26"/>
          <w:lang w:val="de-DE"/>
        </w:rPr>
      </w:pPr>
      <w:r w:rsidRPr="00093EBB">
        <w:rPr>
          <w:sz w:val="26"/>
          <w:szCs w:val="26"/>
          <w:lang w:val="de-DE"/>
        </w:rPr>
        <w:t>Để huy động nguồn có thể xem xét đẩy nhanh việc thoái vốn nhà nước tại các doanh nghiệp mà nhà nước không cần nắm giữ quyền chi phối</w:t>
      </w:r>
      <w:r w:rsidR="00F62F82" w:rsidRPr="00093EBB">
        <w:rPr>
          <w:sz w:val="26"/>
          <w:szCs w:val="26"/>
          <w:lang w:val="de-DE"/>
        </w:rPr>
        <w:t xml:space="preserve">. </w:t>
      </w:r>
      <w:r w:rsidR="00546C2B" w:rsidRPr="00093EBB">
        <w:rPr>
          <w:sz w:val="26"/>
          <w:szCs w:val="26"/>
          <w:lang w:val="de-DE"/>
        </w:rPr>
        <w:t xml:space="preserve"> </w:t>
      </w:r>
      <w:r w:rsidR="00F91F92" w:rsidRPr="00093EBB">
        <w:rPr>
          <w:sz w:val="26"/>
          <w:szCs w:val="26"/>
          <w:lang w:val="de-DE"/>
        </w:rPr>
        <w:t>Trong giai đoạn hiện nay có thể c</w:t>
      </w:r>
      <w:r w:rsidR="00546C2B" w:rsidRPr="00093EBB">
        <w:rPr>
          <w:sz w:val="26"/>
          <w:szCs w:val="26"/>
          <w:lang w:val="de-DE"/>
        </w:rPr>
        <w:t>hấp nhận bội chi cao và vay nợ nhiều hơn trong ngắn hạn là để có không gian tài khóa tốt hơn cho các nhiệm vụ</w:t>
      </w:r>
      <w:r w:rsidR="002C63B8" w:rsidRPr="00093EBB">
        <w:rPr>
          <w:sz w:val="26"/>
          <w:szCs w:val="26"/>
          <w:lang w:val="de-DE"/>
        </w:rPr>
        <w:t xml:space="preserve"> </w:t>
      </w:r>
      <w:r w:rsidR="00546C2B" w:rsidRPr="00093EBB">
        <w:rPr>
          <w:sz w:val="26"/>
          <w:szCs w:val="26"/>
          <w:lang w:val="de-DE"/>
        </w:rPr>
        <w:t xml:space="preserve"> phục hồi kinh tế, xã hội. </w:t>
      </w:r>
      <w:r w:rsidRPr="00093EBB">
        <w:rPr>
          <w:sz w:val="26"/>
          <w:szCs w:val="26"/>
          <w:lang w:val="de-DE"/>
        </w:rPr>
        <w:t>Trong trung hạn từ 202</w:t>
      </w:r>
      <w:r w:rsidR="00483CE6" w:rsidRPr="00093EBB">
        <w:rPr>
          <w:sz w:val="26"/>
          <w:szCs w:val="26"/>
          <w:lang w:val="de-DE"/>
        </w:rPr>
        <w:t>5</w:t>
      </w:r>
      <w:r w:rsidRPr="00093EBB">
        <w:rPr>
          <w:sz w:val="26"/>
          <w:szCs w:val="26"/>
          <w:lang w:val="de-DE"/>
        </w:rPr>
        <w:t>-20</w:t>
      </w:r>
      <w:r w:rsidR="00483CE6" w:rsidRPr="00093EBB">
        <w:rPr>
          <w:sz w:val="26"/>
          <w:szCs w:val="26"/>
          <w:lang w:val="de-DE"/>
        </w:rPr>
        <w:t>30</w:t>
      </w:r>
      <w:r w:rsidR="000E4882" w:rsidRPr="00093EBB">
        <w:rPr>
          <w:sz w:val="26"/>
          <w:szCs w:val="26"/>
          <w:lang w:val="de-DE"/>
        </w:rPr>
        <w:t xml:space="preserve">, </w:t>
      </w:r>
      <w:r w:rsidR="00B6771A" w:rsidRPr="00093EBB">
        <w:rPr>
          <w:sz w:val="26"/>
          <w:szCs w:val="26"/>
          <w:lang w:val="de-DE"/>
        </w:rPr>
        <w:t xml:space="preserve">lãi suất huy động </w:t>
      </w:r>
      <w:r w:rsidR="00E74917" w:rsidRPr="00093EBB">
        <w:rPr>
          <w:sz w:val="26"/>
          <w:szCs w:val="26"/>
          <w:lang w:val="de-DE"/>
        </w:rPr>
        <w:t xml:space="preserve">TPCP </w:t>
      </w:r>
      <w:r w:rsidR="00B6771A" w:rsidRPr="00093EBB">
        <w:rPr>
          <w:sz w:val="26"/>
          <w:szCs w:val="26"/>
          <w:lang w:val="de-DE"/>
        </w:rPr>
        <w:t xml:space="preserve">có thể tăng trở lại </w:t>
      </w:r>
      <w:r w:rsidR="00E74917" w:rsidRPr="00093EBB">
        <w:rPr>
          <w:sz w:val="26"/>
          <w:szCs w:val="26"/>
          <w:lang w:val="de-DE"/>
        </w:rPr>
        <w:t>nên cần tính toán rất cẩn trọng quy mô và thời điểm cho việc huy động TPCP</w:t>
      </w:r>
      <w:r w:rsidR="00B6771A" w:rsidRPr="00093EBB">
        <w:rPr>
          <w:sz w:val="26"/>
          <w:szCs w:val="26"/>
          <w:lang w:val="de-DE"/>
        </w:rPr>
        <w:t>.</w:t>
      </w:r>
      <w:r w:rsidR="0077114C" w:rsidRPr="00093EBB">
        <w:rPr>
          <w:sz w:val="26"/>
          <w:szCs w:val="26"/>
          <w:lang w:val="de-DE"/>
        </w:rPr>
        <w:t xml:space="preserve"> </w:t>
      </w:r>
      <w:r w:rsidR="00F91F92" w:rsidRPr="00093EBB">
        <w:rPr>
          <w:sz w:val="26"/>
          <w:szCs w:val="26"/>
          <w:lang w:val="de-DE"/>
        </w:rPr>
        <w:t xml:space="preserve">Việc Moody nâng xếp hạng tín nhiệm của Việt nam cũng là cơ hội tốt để huy động các nguồn vốn với lãi suất thấp hơn. </w:t>
      </w:r>
    </w:p>
    <w:p w14:paraId="1F0F6737" w14:textId="4B7A5022" w:rsidR="00483CE6" w:rsidRPr="00483CE6" w:rsidRDefault="00483CE6" w:rsidP="00483CE6">
      <w:pPr>
        <w:spacing w:after="100"/>
        <w:jc w:val="center"/>
        <w:rPr>
          <w:b/>
          <w:bCs/>
          <w:i/>
          <w:iCs/>
          <w:color w:val="000000"/>
          <w:sz w:val="26"/>
          <w:szCs w:val="26"/>
          <w:lang w:val="sv-SE"/>
        </w:rPr>
      </w:pPr>
      <w:bookmarkStart w:id="0" w:name="_Toc120109091"/>
      <w:r w:rsidRPr="00483CE6">
        <w:rPr>
          <w:rFonts w:eastAsia="Calibri"/>
          <w:b/>
          <w:i/>
          <w:iCs/>
          <w:color w:val="000000"/>
          <w:sz w:val="26"/>
          <w:szCs w:val="26"/>
          <w:lang w:val="sv-SE" w:eastAsia="en-US"/>
        </w:rPr>
        <w:t xml:space="preserve">Bảng </w:t>
      </w:r>
      <w:r w:rsidR="00093EBB" w:rsidRPr="00093EBB">
        <w:rPr>
          <w:rFonts w:eastAsia="Calibri"/>
          <w:b/>
          <w:i/>
          <w:iCs/>
          <w:color w:val="000000"/>
          <w:sz w:val="26"/>
          <w:szCs w:val="26"/>
          <w:lang w:val="sv-SE" w:eastAsia="en-US"/>
        </w:rPr>
        <w:t>2</w:t>
      </w:r>
      <w:r w:rsidRPr="00483CE6">
        <w:rPr>
          <w:rFonts w:eastAsia="Calibri"/>
          <w:b/>
          <w:i/>
          <w:iCs/>
          <w:color w:val="000000"/>
          <w:sz w:val="26"/>
          <w:szCs w:val="26"/>
          <w:lang w:eastAsia="en-US"/>
        </w:rPr>
        <w:fldChar w:fldCharType="begin"/>
      </w:r>
      <w:r w:rsidRPr="00483CE6">
        <w:rPr>
          <w:rFonts w:eastAsia="Calibri"/>
          <w:b/>
          <w:i/>
          <w:iCs/>
          <w:color w:val="000000"/>
          <w:sz w:val="26"/>
          <w:szCs w:val="26"/>
          <w:lang w:val="sv-SE" w:eastAsia="en-US"/>
        </w:rPr>
        <w:instrText xml:space="preserve"> SEQ Bảng \* ARABIC </w:instrText>
      </w:r>
      <w:r w:rsidRPr="00483CE6">
        <w:rPr>
          <w:rFonts w:eastAsia="Calibri"/>
          <w:b/>
          <w:i/>
          <w:iCs/>
          <w:color w:val="000000"/>
          <w:sz w:val="26"/>
          <w:szCs w:val="26"/>
          <w:lang w:eastAsia="en-US"/>
        </w:rPr>
        <w:fldChar w:fldCharType="separate"/>
      </w:r>
      <w:r w:rsidRPr="00483CE6">
        <w:rPr>
          <w:rFonts w:eastAsia="Calibri"/>
          <w:b/>
          <w:i/>
          <w:iCs/>
          <w:noProof/>
          <w:color w:val="000000"/>
          <w:sz w:val="26"/>
          <w:szCs w:val="26"/>
          <w:lang w:val="sv-SE" w:eastAsia="en-US"/>
        </w:rPr>
        <w:t>1</w:t>
      </w:r>
      <w:r w:rsidRPr="00483CE6">
        <w:rPr>
          <w:rFonts w:eastAsia="Calibri"/>
          <w:b/>
          <w:i/>
          <w:iCs/>
          <w:color w:val="000000"/>
          <w:sz w:val="26"/>
          <w:szCs w:val="26"/>
          <w:lang w:eastAsia="en-US"/>
        </w:rPr>
        <w:fldChar w:fldCharType="end"/>
      </w:r>
      <w:r w:rsidRPr="00483CE6">
        <w:rPr>
          <w:b/>
          <w:bCs/>
          <w:i/>
          <w:iCs/>
          <w:color w:val="000000"/>
          <w:sz w:val="26"/>
          <w:szCs w:val="26"/>
          <w:lang w:val="sv-SE"/>
        </w:rPr>
        <w:t>: Kịch bản mô phỏng về thâm hụt, tăng trưởng và nợ công của Việt nam</w:t>
      </w:r>
      <w:bookmarkEnd w:id="0"/>
    </w:p>
    <w:p w14:paraId="2CF763E0" w14:textId="77777777" w:rsidR="00483CE6" w:rsidRPr="00093EBB" w:rsidRDefault="00483CE6" w:rsidP="00483CE6">
      <w:pPr>
        <w:spacing w:after="100" w:line="276" w:lineRule="auto"/>
        <w:jc w:val="both"/>
        <w:rPr>
          <w:rFonts w:ascii="Calibri" w:eastAsia="Calibri" w:hAnsi="Calibri"/>
          <w:sz w:val="26"/>
          <w:szCs w:val="26"/>
          <w:lang w:val="sv-SE"/>
        </w:rPr>
      </w:pPr>
    </w:p>
    <w:tbl>
      <w:tblPr>
        <w:tblStyle w:val="TableGrid4"/>
        <w:tblW w:w="0" w:type="auto"/>
        <w:tblLook w:val="04A0" w:firstRow="1" w:lastRow="0" w:firstColumn="1" w:lastColumn="0" w:noHBand="0" w:noVBand="1"/>
      </w:tblPr>
      <w:tblGrid>
        <w:gridCol w:w="4088"/>
        <w:gridCol w:w="495"/>
        <w:gridCol w:w="816"/>
        <w:gridCol w:w="830"/>
        <w:gridCol w:w="766"/>
        <w:gridCol w:w="779"/>
        <w:gridCol w:w="779"/>
        <w:gridCol w:w="830"/>
      </w:tblGrid>
      <w:tr w:rsidR="00483CE6" w:rsidRPr="00483CE6" w14:paraId="2DD12066" w14:textId="77777777" w:rsidTr="00456282">
        <w:trPr>
          <w:trHeight w:val="372"/>
        </w:trPr>
        <w:tc>
          <w:tcPr>
            <w:tcW w:w="4088" w:type="dxa"/>
            <w:noWrap/>
            <w:hideMark/>
          </w:tcPr>
          <w:p w14:paraId="29BF5960" w14:textId="77777777" w:rsidR="00483CE6" w:rsidRPr="00483CE6" w:rsidRDefault="00483CE6" w:rsidP="00483CE6">
            <w:pPr>
              <w:spacing w:line="360" w:lineRule="auto"/>
              <w:rPr>
                <w:sz w:val="26"/>
                <w:szCs w:val="26"/>
                <w:lang w:val="sv-SE"/>
              </w:rPr>
            </w:pPr>
          </w:p>
        </w:tc>
        <w:tc>
          <w:tcPr>
            <w:tcW w:w="495" w:type="dxa"/>
            <w:noWrap/>
            <w:hideMark/>
          </w:tcPr>
          <w:p w14:paraId="2CD478EA" w14:textId="77777777" w:rsidR="00483CE6" w:rsidRPr="00483CE6" w:rsidRDefault="00483CE6" w:rsidP="00483CE6">
            <w:pPr>
              <w:spacing w:line="360" w:lineRule="auto"/>
              <w:rPr>
                <w:sz w:val="26"/>
                <w:szCs w:val="26"/>
                <w:lang w:val="sv-SE"/>
              </w:rPr>
            </w:pPr>
          </w:p>
        </w:tc>
        <w:tc>
          <w:tcPr>
            <w:tcW w:w="816" w:type="dxa"/>
            <w:noWrap/>
            <w:hideMark/>
          </w:tcPr>
          <w:p w14:paraId="6E2F75F5" w14:textId="77777777" w:rsidR="00483CE6" w:rsidRPr="00483CE6" w:rsidRDefault="00483CE6" w:rsidP="00483CE6">
            <w:pPr>
              <w:spacing w:line="360" w:lineRule="auto"/>
              <w:rPr>
                <w:b/>
                <w:bCs/>
                <w:sz w:val="26"/>
                <w:szCs w:val="26"/>
              </w:rPr>
            </w:pPr>
            <w:r w:rsidRPr="00483CE6">
              <w:rPr>
                <w:b/>
                <w:bCs/>
                <w:sz w:val="26"/>
                <w:szCs w:val="26"/>
              </w:rPr>
              <w:t>Năm</w:t>
            </w:r>
          </w:p>
        </w:tc>
        <w:tc>
          <w:tcPr>
            <w:tcW w:w="830" w:type="dxa"/>
            <w:noWrap/>
            <w:hideMark/>
          </w:tcPr>
          <w:p w14:paraId="2DCD26C0" w14:textId="77777777" w:rsidR="00483CE6" w:rsidRPr="00483CE6" w:rsidRDefault="00483CE6" w:rsidP="00483CE6">
            <w:pPr>
              <w:spacing w:line="360" w:lineRule="auto"/>
              <w:rPr>
                <w:b/>
                <w:bCs/>
                <w:sz w:val="26"/>
                <w:szCs w:val="26"/>
              </w:rPr>
            </w:pPr>
            <w:r w:rsidRPr="00483CE6">
              <w:rPr>
                <w:b/>
                <w:bCs/>
                <w:sz w:val="26"/>
                <w:szCs w:val="26"/>
              </w:rPr>
              <w:t> </w:t>
            </w:r>
          </w:p>
        </w:tc>
        <w:tc>
          <w:tcPr>
            <w:tcW w:w="766" w:type="dxa"/>
            <w:noWrap/>
            <w:hideMark/>
          </w:tcPr>
          <w:p w14:paraId="32545936" w14:textId="77777777" w:rsidR="00483CE6" w:rsidRPr="00483CE6" w:rsidRDefault="00483CE6" w:rsidP="00483CE6">
            <w:pPr>
              <w:spacing w:line="360" w:lineRule="auto"/>
              <w:rPr>
                <w:b/>
                <w:bCs/>
                <w:sz w:val="26"/>
                <w:szCs w:val="26"/>
              </w:rPr>
            </w:pPr>
            <w:r w:rsidRPr="00483CE6">
              <w:rPr>
                <w:b/>
                <w:bCs/>
                <w:sz w:val="26"/>
                <w:szCs w:val="26"/>
              </w:rPr>
              <w:t> </w:t>
            </w:r>
          </w:p>
        </w:tc>
        <w:tc>
          <w:tcPr>
            <w:tcW w:w="1558" w:type="dxa"/>
            <w:gridSpan w:val="2"/>
            <w:noWrap/>
            <w:hideMark/>
          </w:tcPr>
          <w:p w14:paraId="68EF2EB4" w14:textId="77777777" w:rsidR="00483CE6" w:rsidRPr="00483CE6" w:rsidRDefault="00483CE6" w:rsidP="00483CE6">
            <w:pPr>
              <w:spacing w:line="360" w:lineRule="auto"/>
              <w:rPr>
                <w:b/>
                <w:bCs/>
                <w:sz w:val="26"/>
                <w:szCs w:val="26"/>
              </w:rPr>
            </w:pPr>
            <w:r w:rsidRPr="00483CE6">
              <w:rPr>
                <w:b/>
                <w:bCs/>
                <w:sz w:val="26"/>
                <w:szCs w:val="26"/>
              </w:rPr>
              <w:t>Kịch bản</w:t>
            </w:r>
          </w:p>
        </w:tc>
        <w:tc>
          <w:tcPr>
            <w:tcW w:w="830" w:type="dxa"/>
            <w:noWrap/>
            <w:hideMark/>
          </w:tcPr>
          <w:p w14:paraId="3ADF912C" w14:textId="77777777" w:rsidR="00483CE6" w:rsidRPr="00483CE6" w:rsidRDefault="00483CE6" w:rsidP="00483CE6">
            <w:pPr>
              <w:spacing w:line="360" w:lineRule="auto"/>
              <w:rPr>
                <w:sz w:val="26"/>
                <w:szCs w:val="26"/>
              </w:rPr>
            </w:pPr>
            <w:r w:rsidRPr="00483CE6">
              <w:rPr>
                <w:sz w:val="26"/>
                <w:szCs w:val="26"/>
              </w:rPr>
              <w:t> </w:t>
            </w:r>
          </w:p>
        </w:tc>
      </w:tr>
      <w:tr w:rsidR="00483CE6" w:rsidRPr="00483CE6" w14:paraId="14E06FB1" w14:textId="77777777" w:rsidTr="00456282">
        <w:trPr>
          <w:trHeight w:val="372"/>
        </w:trPr>
        <w:tc>
          <w:tcPr>
            <w:tcW w:w="4088" w:type="dxa"/>
            <w:noWrap/>
            <w:hideMark/>
          </w:tcPr>
          <w:p w14:paraId="4AD4B39C" w14:textId="77777777" w:rsidR="00483CE6" w:rsidRPr="00483CE6" w:rsidRDefault="00483CE6" w:rsidP="00483CE6">
            <w:pPr>
              <w:spacing w:line="360" w:lineRule="auto"/>
              <w:rPr>
                <w:b/>
                <w:bCs/>
                <w:sz w:val="26"/>
                <w:szCs w:val="26"/>
              </w:rPr>
            </w:pPr>
            <w:r w:rsidRPr="00483CE6">
              <w:rPr>
                <w:b/>
                <w:bCs/>
                <w:sz w:val="26"/>
                <w:szCs w:val="26"/>
              </w:rPr>
              <w:t>Giả định và kết quả</w:t>
            </w:r>
          </w:p>
        </w:tc>
        <w:tc>
          <w:tcPr>
            <w:tcW w:w="495" w:type="dxa"/>
            <w:noWrap/>
            <w:hideMark/>
          </w:tcPr>
          <w:p w14:paraId="5CFB373F" w14:textId="77777777" w:rsidR="00483CE6" w:rsidRPr="00483CE6" w:rsidRDefault="00483CE6" w:rsidP="00483CE6">
            <w:pPr>
              <w:spacing w:line="360" w:lineRule="auto"/>
              <w:rPr>
                <w:sz w:val="26"/>
                <w:szCs w:val="26"/>
              </w:rPr>
            </w:pPr>
            <w:r w:rsidRPr="00483CE6">
              <w:rPr>
                <w:sz w:val="26"/>
                <w:szCs w:val="26"/>
              </w:rPr>
              <w:t> </w:t>
            </w:r>
          </w:p>
        </w:tc>
        <w:tc>
          <w:tcPr>
            <w:tcW w:w="816" w:type="dxa"/>
            <w:tcBorders>
              <w:bottom w:val="single" w:sz="4" w:space="0" w:color="auto"/>
            </w:tcBorders>
            <w:noWrap/>
            <w:hideMark/>
          </w:tcPr>
          <w:p w14:paraId="2C8341FB" w14:textId="77777777" w:rsidR="00483CE6" w:rsidRPr="00483CE6" w:rsidRDefault="00483CE6" w:rsidP="00483CE6">
            <w:pPr>
              <w:spacing w:line="360" w:lineRule="auto"/>
              <w:rPr>
                <w:sz w:val="26"/>
                <w:szCs w:val="26"/>
              </w:rPr>
            </w:pPr>
            <w:r w:rsidRPr="00483CE6">
              <w:rPr>
                <w:sz w:val="26"/>
                <w:szCs w:val="26"/>
              </w:rPr>
              <w:t>2021</w:t>
            </w:r>
          </w:p>
        </w:tc>
        <w:tc>
          <w:tcPr>
            <w:tcW w:w="830" w:type="dxa"/>
            <w:tcBorders>
              <w:bottom w:val="single" w:sz="4" w:space="0" w:color="auto"/>
            </w:tcBorders>
            <w:noWrap/>
            <w:hideMark/>
          </w:tcPr>
          <w:p w14:paraId="428708B5" w14:textId="77777777" w:rsidR="00483CE6" w:rsidRPr="00483CE6" w:rsidRDefault="00483CE6" w:rsidP="00483CE6">
            <w:pPr>
              <w:spacing w:line="360" w:lineRule="auto"/>
              <w:rPr>
                <w:sz w:val="26"/>
                <w:szCs w:val="26"/>
              </w:rPr>
            </w:pPr>
            <w:r w:rsidRPr="00483CE6">
              <w:rPr>
                <w:sz w:val="26"/>
                <w:szCs w:val="26"/>
              </w:rPr>
              <w:t>2022</w:t>
            </w:r>
          </w:p>
        </w:tc>
        <w:tc>
          <w:tcPr>
            <w:tcW w:w="766" w:type="dxa"/>
            <w:tcBorders>
              <w:bottom w:val="single" w:sz="4" w:space="0" w:color="auto"/>
            </w:tcBorders>
            <w:noWrap/>
            <w:hideMark/>
          </w:tcPr>
          <w:p w14:paraId="5165EF61" w14:textId="77777777" w:rsidR="00483CE6" w:rsidRPr="00483CE6" w:rsidRDefault="00483CE6" w:rsidP="00483CE6">
            <w:pPr>
              <w:spacing w:line="360" w:lineRule="auto"/>
              <w:rPr>
                <w:sz w:val="26"/>
                <w:szCs w:val="26"/>
              </w:rPr>
            </w:pPr>
            <w:r w:rsidRPr="00483CE6">
              <w:rPr>
                <w:sz w:val="26"/>
                <w:szCs w:val="26"/>
              </w:rPr>
              <w:t>2023</w:t>
            </w:r>
          </w:p>
        </w:tc>
        <w:tc>
          <w:tcPr>
            <w:tcW w:w="779" w:type="dxa"/>
            <w:tcBorders>
              <w:bottom w:val="single" w:sz="4" w:space="0" w:color="auto"/>
            </w:tcBorders>
            <w:noWrap/>
            <w:hideMark/>
          </w:tcPr>
          <w:p w14:paraId="4E9D3E18" w14:textId="77777777" w:rsidR="00483CE6" w:rsidRPr="00483CE6" w:rsidRDefault="00483CE6" w:rsidP="00483CE6">
            <w:pPr>
              <w:spacing w:line="360" w:lineRule="auto"/>
              <w:rPr>
                <w:sz w:val="26"/>
                <w:szCs w:val="26"/>
              </w:rPr>
            </w:pPr>
            <w:r w:rsidRPr="00483CE6">
              <w:rPr>
                <w:sz w:val="26"/>
                <w:szCs w:val="26"/>
              </w:rPr>
              <w:t>2024</w:t>
            </w:r>
          </w:p>
        </w:tc>
        <w:tc>
          <w:tcPr>
            <w:tcW w:w="779" w:type="dxa"/>
            <w:tcBorders>
              <w:bottom w:val="single" w:sz="4" w:space="0" w:color="auto"/>
            </w:tcBorders>
            <w:noWrap/>
            <w:hideMark/>
          </w:tcPr>
          <w:p w14:paraId="0164011B" w14:textId="77777777" w:rsidR="00483CE6" w:rsidRPr="00483CE6" w:rsidRDefault="00483CE6" w:rsidP="00483CE6">
            <w:pPr>
              <w:spacing w:line="360" w:lineRule="auto"/>
              <w:rPr>
                <w:sz w:val="26"/>
                <w:szCs w:val="26"/>
              </w:rPr>
            </w:pPr>
            <w:r w:rsidRPr="00483CE6">
              <w:rPr>
                <w:sz w:val="26"/>
                <w:szCs w:val="26"/>
              </w:rPr>
              <w:t>2025</w:t>
            </w:r>
          </w:p>
        </w:tc>
        <w:tc>
          <w:tcPr>
            <w:tcW w:w="830" w:type="dxa"/>
            <w:tcBorders>
              <w:bottom w:val="single" w:sz="4" w:space="0" w:color="auto"/>
            </w:tcBorders>
            <w:noWrap/>
            <w:hideMark/>
          </w:tcPr>
          <w:p w14:paraId="748B08E0" w14:textId="77777777" w:rsidR="00483CE6" w:rsidRPr="00483CE6" w:rsidRDefault="00483CE6" w:rsidP="00483CE6">
            <w:pPr>
              <w:spacing w:line="360" w:lineRule="auto"/>
              <w:rPr>
                <w:sz w:val="26"/>
                <w:szCs w:val="26"/>
              </w:rPr>
            </w:pPr>
            <w:r w:rsidRPr="00483CE6">
              <w:rPr>
                <w:sz w:val="26"/>
                <w:szCs w:val="26"/>
              </w:rPr>
              <w:t>2026</w:t>
            </w:r>
          </w:p>
        </w:tc>
      </w:tr>
      <w:tr w:rsidR="00456282" w:rsidRPr="00483CE6" w14:paraId="1B766233" w14:textId="77777777" w:rsidTr="00456282">
        <w:trPr>
          <w:trHeight w:val="372"/>
        </w:trPr>
        <w:tc>
          <w:tcPr>
            <w:tcW w:w="4088" w:type="dxa"/>
            <w:noWrap/>
            <w:hideMark/>
          </w:tcPr>
          <w:p w14:paraId="01299120" w14:textId="77777777" w:rsidR="00456282" w:rsidRPr="00483CE6" w:rsidRDefault="00456282" w:rsidP="00456282">
            <w:pPr>
              <w:spacing w:line="360" w:lineRule="auto"/>
              <w:rPr>
                <w:sz w:val="26"/>
                <w:szCs w:val="26"/>
              </w:rPr>
            </w:pPr>
            <w:r w:rsidRPr="00483CE6">
              <w:rPr>
                <w:sz w:val="26"/>
                <w:szCs w:val="26"/>
              </w:rPr>
              <w:t>Tăng trưởng GDP (%)</w:t>
            </w:r>
          </w:p>
        </w:tc>
        <w:tc>
          <w:tcPr>
            <w:tcW w:w="495" w:type="dxa"/>
            <w:noWrap/>
            <w:hideMark/>
          </w:tcPr>
          <w:p w14:paraId="32B13877" w14:textId="77777777" w:rsidR="00456282" w:rsidRPr="00483CE6" w:rsidRDefault="00456282" w:rsidP="00456282">
            <w:pPr>
              <w:spacing w:line="360" w:lineRule="auto"/>
              <w:rPr>
                <w:b/>
                <w:bCs/>
                <w:i/>
                <w:iCs/>
                <w:sz w:val="26"/>
                <w:szCs w:val="26"/>
              </w:rPr>
            </w:pPr>
            <w:r w:rsidRPr="00483CE6">
              <w:rPr>
                <w:b/>
                <w:bCs/>
                <w:i/>
                <w:iCs/>
                <w:sz w:val="26"/>
                <w:szCs w:val="26"/>
              </w:rPr>
              <w:t>g</w:t>
            </w:r>
          </w:p>
        </w:tc>
        <w:tc>
          <w:tcPr>
            <w:tcW w:w="816" w:type="dxa"/>
            <w:tcBorders>
              <w:top w:val="single" w:sz="4" w:space="0" w:color="auto"/>
              <w:left w:val="nil"/>
              <w:bottom w:val="nil"/>
              <w:right w:val="nil"/>
            </w:tcBorders>
            <w:shd w:val="clear" w:color="auto" w:fill="auto"/>
            <w:noWrap/>
            <w:vAlign w:val="bottom"/>
            <w:hideMark/>
          </w:tcPr>
          <w:p w14:paraId="53CFFDC7" w14:textId="01E8F4F4" w:rsidR="00456282" w:rsidRPr="00483CE6" w:rsidRDefault="00456282" w:rsidP="00456282">
            <w:pPr>
              <w:spacing w:line="360" w:lineRule="auto"/>
              <w:rPr>
                <w:sz w:val="26"/>
                <w:szCs w:val="26"/>
              </w:rPr>
            </w:pPr>
            <w:r w:rsidRPr="00093EBB">
              <w:rPr>
                <w:rFonts w:ascii="Calibri" w:hAnsi="Calibri" w:cs="Calibri"/>
                <w:color w:val="000000"/>
                <w:sz w:val="26"/>
                <w:szCs w:val="26"/>
              </w:rPr>
              <w:t>2.5</w:t>
            </w:r>
          </w:p>
        </w:tc>
        <w:tc>
          <w:tcPr>
            <w:tcW w:w="830" w:type="dxa"/>
            <w:tcBorders>
              <w:top w:val="single" w:sz="4" w:space="0" w:color="auto"/>
              <w:left w:val="nil"/>
              <w:bottom w:val="nil"/>
              <w:right w:val="nil"/>
            </w:tcBorders>
            <w:shd w:val="clear" w:color="000000" w:fill="EDEDED"/>
            <w:noWrap/>
            <w:vAlign w:val="bottom"/>
            <w:hideMark/>
          </w:tcPr>
          <w:p w14:paraId="6D47AABF" w14:textId="51A23506" w:rsidR="00456282" w:rsidRPr="00483CE6" w:rsidRDefault="00456282" w:rsidP="00456282">
            <w:pPr>
              <w:spacing w:line="360" w:lineRule="auto"/>
              <w:rPr>
                <w:sz w:val="26"/>
                <w:szCs w:val="26"/>
              </w:rPr>
            </w:pPr>
            <w:r w:rsidRPr="00093EBB">
              <w:rPr>
                <w:rFonts w:ascii="Calibri" w:hAnsi="Calibri" w:cs="Calibri"/>
                <w:sz w:val="26"/>
                <w:szCs w:val="26"/>
              </w:rPr>
              <w:t>8.0</w:t>
            </w:r>
          </w:p>
        </w:tc>
        <w:tc>
          <w:tcPr>
            <w:tcW w:w="766" w:type="dxa"/>
            <w:tcBorders>
              <w:top w:val="single" w:sz="4" w:space="0" w:color="auto"/>
              <w:left w:val="nil"/>
              <w:bottom w:val="nil"/>
              <w:right w:val="nil"/>
            </w:tcBorders>
            <w:shd w:val="clear" w:color="000000" w:fill="EDEDED"/>
            <w:noWrap/>
            <w:vAlign w:val="bottom"/>
            <w:hideMark/>
          </w:tcPr>
          <w:p w14:paraId="716E55AC" w14:textId="5F4DBFDF" w:rsidR="00456282" w:rsidRPr="00483CE6" w:rsidRDefault="00456282" w:rsidP="00456282">
            <w:pPr>
              <w:spacing w:line="360" w:lineRule="auto"/>
              <w:rPr>
                <w:sz w:val="26"/>
                <w:szCs w:val="26"/>
              </w:rPr>
            </w:pPr>
            <w:r w:rsidRPr="00093EBB">
              <w:rPr>
                <w:rFonts w:ascii="Calibri" w:hAnsi="Calibri" w:cs="Calibri"/>
                <w:sz w:val="26"/>
                <w:szCs w:val="26"/>
              </w:rPr>
              <w:t>6.0</w:t>
            </w:r>
          </w:p>
        </w:tc>
        <w:tc>
          <w:tcPr>
            <w:tcW w:w="779" w:type="dxa"/>
            <w:tcBorders>
              <w:top w:val="single" w:sz="4" w:space="0" w:color="auto"/>
              <w:left w:val="nil"/>
              <w:bottom w:val="nil"/>
              <w:right w:val="nil"/>
            </w:tcBorders>
            <w:shd w:val="clear" w:color="000000" w:fill="EDEDED"/>
            <w:noWrap/>
            <w:vAlign w:val="bottom"/>
            <w:hideMark/>
          </w:tcPr>
          <w:p w14:paraId="30D9A417" w14:textId="19048F9D" w:rsidR="00456282" w:rsidRPr="00483CE6" w:rsidRDefault="00456282" w:rsidP="00456282">
            <w:pPr>
              <w:spacing w:line="360" w:lineRule="auto"/>
              <w:rPr>
                <w:sz w:val="26"/>
                <w:szCs w:val="26"/>
              </w:rPr>
            </w:pPr>
            <w:r w:rsidRPr="00093EBB">
              <w:rPr>
                <w:rFonts w:ascii="Calibri" w:hAnsi="Calibri" w:cs="Calibri"/>
                <w:sz w:val="26"/>
                <w:szCs w:val="26"/>
              </w:rPr>
              <w:t>6.5</w:t>
            </w:r>
          </w:p>
        </w:tc>
        <w:tc>
          <w:tcPr>
            <w:tcW w:w="779" w:type="dxa"/>
            <w:tcBorders>
              <w:top w:val="single" w:sz="4" w:space="0" w:color="auto"/>
              <w:left w:val="nil"/>
              <w:bottom w:val="nil"/>
              <w:right w:val="nil"/>
            </w:tcBorders>
            <w:shd w:val="clear" w:color="000000" w:fill="EDEDED"/>
            <w:noWrap/>
            <w:vAlign w:val="bottom"/>
            <w:hideMark/>
          </w:tcPr>
          <w:p w14:paraId="2878E2E5" w14:textId="0C8B1B11" w:rsidR="00456282" w:rsidRPr="00483CE6" w:rsidRDefault="00456282" w:rsidP="00456282">
            <w:pPr>
              <w:spacing w:line="360" w:lineRule="auto"/>
              <w:rPr>
                <w:sz w:val="26"/>
                <w:szCs w:val="26"/>
              </w:rPr>
            </w:pPr>
            <w:r w:rsidRPr="00093EBB">
              <w:rPr>
                <w:rFonts w:ascii="Calibri" w:hAnsi="Calibri" w:cs="Calibri"/>
                <w:sz w:val="26"/>
                <w:szCs w:val="26"/>
              </w:rPr>
              <w:t>6.5</w:t>
            </w:r>
          </w:p>
        </w:tc>
        <w:tc>
          <w:tcPr>
            <w:tcW w:w="830" w:type="dxa"/>
            <w:tcBorders>
              <w:top w:val="single" w:sz="4" w:space="0" w:color="auto"/>
              <w:left w:val="nil"/>
              <w:bottom w:val="nil"/>
              <w:right w:val="single" w:sz="4" w:space="0" w:color="auto"/>
            </w:tcBorders>
            <w:shd w:val="clear" w:color="000000" w:fill="EDEDED"/>
            <w:noWrap/>
            <w:vAlign w:val="bottom"/>
            <w:hideMark/>
          </w:tcPr>
          <w:p w14:paraId="40A52B2E" w14:textId="62792220" w:rsidR="00456282" w:rsidRPr="00483CE6" w:rsidRDefault="00456282" w:rsidP="00456282">
            <w:pPr>
              <w:spacing w:line="360" w:lineRule="auto"/>
              <w:rPr>
                <w:sz w:val="26"/>
                <w:szCs w:val="26"/>
              </w:rPr>
            </w:pPr>
            <w:r w:rsidRPr="00093EBB">
              <w:rPr>
                <w:rFonts w:ascii="Calibri" w:hAnsi="Calibri" w:cs="Calibri"/>
                <w:sz w:val="26"/>
                <w:szCs w:val="26"/>
              </w:rPr>
              <w:t>6.5</w:t>
            </w:r>
          </w:p>
        </w:tc>
      </w:tr>
      <w:tr w:rsidR="00456282" w:rsidRPr="00483CE6" w14:paraId="21804000" w14:textId="77777777" w:rsidTr="00456282">
        <w:trPr>
          <w:trHeight w:val="346"/>
        </w:trPr>
        <w:tc>
          <w:tcPr>
            <w:tcW w:w="4088" w:type="dxa"/>
            <w:noWrap/>
            <w:hideMark/>
          </w:tcPr>
          <w:p w14:paraId="27A1F3E1" w14:textId="77777777" w:rsidR="00456282" w:rsidRPr="00483CE6" w:rsidRDefault="00456282" w:rsidP="00456282">
            <w:pPr>
              <w:spacing w:line="360" w:lineRule="auto"/>
              <w:rPr>
                <w:sz w:val="26"/>
                <w:szCs w:val="26"/>
              </w:rPr>
            </w:pPr>
            <w:r w:rsidRPr="00483CE6">
              <w:rPr>
                <w:sz w:val="26"/>
                <w:szCs w:val="26"/>
              </w:rPr>
              <w:t>Lãi suất vay danh nghĩa trong nước (%)</w:t>
            </w:r>
          </w:p>
        </w:tc>
        <w:tc>
          <w:tcPr>
            <w:tcW w:w="495" w:type="dxa"/>
            <w:noWrap/>
            <w:hideMark/>
          </w:tcPr>
          <w:p w14:paraId="0B15BECE" w14:textId="77777777" w:rsidR="00456282" w:rsidRPr="00483CE6" w:rsidRDefault="00456282" w:rsidP="00456282">
            <w:pPr>
              <w:spacing w:line="360" w:lineRule="auto"/>
              <w:rPr>
                <w:b/>
                <w:bCs/>
                <w:i/>
                <w:iCs/>
                <w:sz w:val="26"/>
                <w:szCs w:val="26"/>
              </w:rPr>
            </w:pPr>
            <w:r w:rsidRPr="00483CE6">
              <w:rPr>
                <w:b/>
                <w:bCs/>
                <w:i/>
                <w:iCs/>
                <w:sz w:val="26"/>
                <w:szCs w:val="26"/>
              </w:rPr>
              <w:t>i</w:t>
            </w:r>
          </w:p>
        </w:tc>
        <w:tc>
          <w:tcPr>
            <w:tcW w:w="816" w:type="dxa"/>
            <w:tcBorders>
              <w:top w:val="nil"/>
              <w:left w:val="nil"/>
              <w:bottom w:val="nil"/>
              <w:right w:val="nil"/>
            </w:tcBorders>
            <w:shd w:val="clear" w:color="auto" w:fill="auto"/>
            <w:noWrap/>
            <w:vAlign w:val="bottom"/>
            <w:hideMark/>
          </w:tcPr>
          <w:p w14:paraId="5C45A3ED" w14:textId="2EAB0DD7" w:rsidR="00456282" w:rsidRPr="00483CE6" w:rsidRDefault="00456282" w:rsidP="00456282">
            <w:pPr>
              <w:spacing w:line="360" w:lineRule="auto"/>
              <w:rPr>
                <w:sz w:val="26"/>
                <w:szCs w:val="26"/>
              </w:rPr>
            </w:pPr>
            <w:r w:rsidRPr="00093EBB">
              <w:rPr>
                <w:rFonts w:ascii="Calibri" w:hAnsi="Calibri" w:cs="Calibri"/>
                <w:color w:val="FF0000"/>
                <w:sz w:val="26"/>
                <w:szCs w:val="26"/>
              </w:rPr>
              <w:t>4.0</w:t>
            </w:r>
          </w:p>
        </w:tc>
        <w:tc>
          <w:tcPr>
            <w:tcW w:w="830" w:type="dxa"/>
            <w:tcBorders>
              <w:top w:val="nil"/>
              <w:left w:val="nil"/>
              <w:bottom w:val="nil"/>
              <w:right w:val="nil"/>
            </w:tcBorders>
            <w:shd w:val="clear" w:color="000000" w:fill="EDEDED"/>
            <w:noWrap/>
            <w:vAlign w:val="bottom"/>
            <w:hideMark/>
          </w:tcPr>
          <w:p w14:paraId="76AE92B0" w14:textId="49222CED" w:rsidR="00456282" w:rsidRPr="00483CE6" w:rsidRDefault="00456282" w:rsidP="00456282">
            <w:pPr>
              <w:spacing w:line="360" w:lineRule="auto"/>
              <w:rPr>
                <w:sz w:val="26"/>
                <w:szCs w:val="26"/>
              </w:rPr>
            </w:pPr>
            <w:r w:rsidRPr="00093EBB">
              <w:rPr>
                <w:rFonts w:ascii="Calibri" w:hAnsi="Calibri" w:cs="Calibri"/>
                <w:color w:val="FF0000"/>
                <w:sz w:val="26"/>
                <w:szCs w:val="26"/>
              </w:rPr>
              <w:t>5.0</w:t>
            </w:r>
          </w:p>
        </w:tc>
        <w:tc>
          <w:tcPr>
            <w:tcW w:w="766" w:type="dxa"/>
            <w:tcBorders>
              <w:top w:val="nil"/>
              <w:left w:val="nil"/>
              <w:bottom w:val="nil"/>
              <w:right w:val="nil"/>
            </w:tcBorders>
            <w:shd w:val="clear" w:color="000000" w:fill="EDEDED"/>
            <w:noWrap/>
            <w:vAlign w:val="bottom"/>
            <w:hideMark/>
          </w:tcPr>
          <w:p w14:paraId="223E50BE" w14:textId="223D70BE" w:rsidR="00456282" w:rsidRPr="00483CE6" w:rsidRDefault="00456282" w:rsidP="00456282">
            <w:pPr>
              <w:spacing w:line="360" w:lineRule="auto"/>
              <w:rPr>
                <w:sz w:val="26"/>
                <w:szCs w:val="26"/>
              </w:rPr>
            </w:pPr>
            <w:r w:rsidRPr="00093EBB">
              <w:rPr>
                <w:rFonts w:ascii="Calibri" w:hAnsi="Calibri" w:cs="Calibri"/>
                <w:color w:val="FF0000"/>
                <w:sz w:val="26"/>
                <w:szCs w:val="26"/>
              </w:rPr>
              <w:t>4.5</w:t>
            </w:r>
          </w:p>
        </w:tc>
        <w:tc>
          <w:tcPr>
            <w:tcW w:w="779" w:type="dxa"/>
            <w:tcBorders>
              <w:top w:val="nil"/>
              <w:left w:val="nil"/>
              <w:bottom w:val="nil"/>
              <w:right w:val="nil"/>
            </w:tcBorders>
            <w:shd w:val="clear" w:color="000000" w:fill="EDEDED"/>
            <w:noWrap/>
            <w:vAlign w:val="bottom"/>
            <w:hideMark/>
          </w:tcPr>
          <w:p w14:paraId="4BAC4497" w14:textId="6766BFAF" w:rsidR="00456282" w:rsidRPr="00483CE6" w:rsidRDefault="00456282" w:rsidP="00456282">
            <w:pPr>
              <w:spacing w:line="360" w:lineRule="auto"/>
              <w:rPr>
                <w:sz w:val="26"/>
                <w:szCs w:val="26"/>
              </w:rPr>
            </w:pPr>
            <w:r w:rsidRPr="00093EBB">
              <w:rPr>
                <w:rFonts w:ascii="Calibri" w:hAnsi="Calibri" w:cs="Calibri"/>
                <w:color w:val="FF0000"/>
                <w:sz w:val="26"/>
                <w:szCs w:val="26"/>
              </w:rPr>
              <w:t>4.7</w:t>
            </w:r>
          </w:p>
        </w:tc>
        <w:tc>
          <w:tcPr>
            <w:tcW w:w="779" w:type="dxa"/>
            <w:tcBorders>
              <w:top w:val="nil"/>
              <w:left w:val="nil"/>
              <w:bottom w:val="nil"/>
              <w:right w:val="nil"/>
            </w:tcBorders>
            <w:shd w:val="clear" w:color="000000" w:fill="EDEDED"/>
            <w:noWrap/>
            <w:vAlign w:val="bottom"/>
            <w:hideMark/>
          </w:tcPr>
          <w:p w14:paraId="2AD03E35" w14:textId="51034FDA" w:rsidR="00456282" w:rsidRPr="00483CE6" w:rsidRDefault="00456282" w:rsidP="00456282">
            <w:pPr>
              <w:spacing w:line="360" w:lineRule="auto"/>
              <w:rPr>
                <w:sz w:val="26"/>
                <w:szCs w:val="26"/>
              </w:rPr>
            </w:pPr>
            <w:r w:rsidRPr="00093EBB">
              <w:rPr>
                <w:rFonts w:ascii="Calibri" w:hAnsi="Calibri" w:cs="Calibri"/>
                <w:color w:val="FF0000"/>
                <w:sz w:val="26"/>
                <w:szCs w:val="26"/>
              </w:rPr>
              <w:t>4.7</w:t>
            </w:r>
          </w:p>
        </w:tc>
        <w:tc>
          <w:tcPr>
            <w:tcW w:w="830" w:type="dxa"/>
            <w:tcBorders>
              <w:top w:val="nil"/>
              <w:left w:val="nil"/>
              <w:bottom w:val="nil"/>
              <w:right w:val="single" w:sz="4" w:space="0" w:color="auto"/>
            </w:tcBorders>
            <w:shd w:val="clear" w:color="000000" w:fill="EDEDED"/>
            <w:noWrap/>
            <w:vAlign w:val="bottom"/>
            <w:hideMark/>
          </w:tcPr>
          <w:p w14:paraId="11EF3992" w14:textId="3A91FF52" w:rsidR="00456282" w:rsidRPr="00483CE6" w:rsidRDefault="00456282" w:rsidP="00456282">
            <w:pPr>
              <w:spacing w:line="360" w:lineRule="auto"/>
              <w:rPr>
                <w:sz w:val="26"/>
                <w:szCs w:val="26"/>
              </w:rPr>
            </w:pPr>
            <w:r w:rsidRPr="00093EBB">
              <w:rPr>
                <w:rFonts w:ascii="Calibri" w:hAnsi="Calibri" w:cs="Calibri"/>
                <w:color w:val="FF0000"/>
                <w:sz w:val="26"/>
                <w:szCs w:val="26"/>
              </w:rPr>
              <w:t>4.7</w:t>
            </w:r>
          </w:p>
        </w:tc>
      </w:tr>
      <w:tr w:rsidR="00456282" w:rsidRPr="00483CE6" w14:paraId="1B0D09A0" w14:textId="77777777" w:rsidTr="00456282">
        <w:trPr>
          <w:trHeight w:val="377"/>
        </w:trPr>
        <w:tc>
          <w:tcPr>
            <w:tcW w:w="4088" w:type="dxa"/>
            <w:noWrap/>
            <w:hideMark/>
          </w:tcPr>
          <w:p w14:paraId="50240F0C" w14:textId="77777777" w:rsidR="00456282" w:rsidRPr="00483CE6" w:rsidRDefault="00456282" w:rsidP="00456282">
            <w:pPr>
              <w:spacing w:line="360" w:lineRule="auto"/>
              <w:rPr>
                <w:sz w:val="26"/>
                <w:szCs w:val="26"/>
              </w:rPr>
            </w:pPr>
            <w:r w:rsidRPr="00483CE6">
              <w:rPr>
                <w:sz w:val="26"/>
                <w:szCs w:val="26"/>
              </w:rPr>
              <w:lastRenderedPageBreak/>
              <w:t>Lạm phát (%) (GDP deflator)</w:t>
            </w:r>
          </w:p>
        </w:tc>
        <w:tc>
          <w:tcPr>
            <w:tcW w:w="495" w:type="dxa"/>
            <w:noWrap/>
            <w:hideMark/>
          </w:tcPr>
          <w:p w14:paraId="12623167" w14:textId="77777777" w:rsidR="00456282" w:rsidRPr="00483CE6" w:rsidRDefault="00456282" w:rsidP="00456282">
            <w:pPr>
              <w:spacing w:line="360" w:lineRule="auto"/>
              <w:rPr>
                <w:b/>
                <w:bCs/>
                <w:i/>
                <w:iCs/>
                <w:sz w:val="26"/>
                <w:szCs w:val="26"/>
              </w:rPr>
            </w:pPr>
            <w:r w:rsidRPr="00483CE6">
              <w:rPr>
                <w:b/>
                <w:bCs/>
                <w:i/>
                <w:iCs/>
                <w:sz w:val="26"/>
                <w:szCs w:val="26"/>
              </w:rPr>
              <w:t>π</w:t>
            </w:r>
          </w:p>
        </w:tc>
        <w:tc>
          <w:tcPr>
            <w:tcW w:w="816" w:type="dxa"/>
            <w:tcBorders>
              <w:top w:val="nil"/>
              <w:left w:val="nil"/>
              <w:bottom w:val="nil"/>
              <w:right w:val="nil"/>
            </w:tcBorders>
            <w:shd w:val="clear" w:color="auto" w:fill="auto"/>
            <w:noWrap/>
            <w:vAlign w:val="bottom"/>
            <w:hideMark/>
          </w:tcPr>
          <w:p w14:paraId="5C0E016D" w14:textId="35402174" w:rsidR="00456282" w:rsidRPr="00483CE6" w:rsidRDefault="00456282" w:rsidP="00456282">
            <w:pPr>
              <w:spacing w:line="360" w:lineRule="auto"/>
              <w:rPr>
                <w:sz w:val="26"/>
                <w:szCs w:val="26"/>
              </w:rPr>
            </w:pPr>
            <w:r w:rsidRPr="00093EBB">
              <w:rPr>
                <w:rFonts w:ascii="Calibri" w:hAnsi="Calibri" w:cs="Calibri"/>
                <w:color w:val="000000"/>
                <w:sz w:val="26"/>
                <w:szCs w:val="26"/>
              </w:rPr>
              <w:t>2.0</w:t>
            </w:r>
          </w:p>
        </w:tc>
        <w:tc>
          <w:tcPr>
            <w:tcW w:w="830" w:type="dxa"/>
            <w:tcBorders>
              <w:top w:val="nil"/>
              <w:left w:val="nil"/>
              <w:bottom w:val="nil"/>
              <w:right w:val="nil"/>
            </w:tcBorders>
            <w:shd w:val="clear" w:color="000000" w:fill="EDEDED"/>
            <w:noWrap/>
            <w:vAlign w:val="bottom"/>
            <w:hideMark/>
          </w:tcPr>
          <w:p w14:paraId="2059979A" w14:textId="3902C2B8" w:rsidR="00456282" w:rsidRPr="00483CE6" w:rsidRDefault="00456282" w:rsidP="00456282">
            <w:pPr>
              <w:spacing w:line="360" w:lineRule="auto"/>
              <w:rPr>
                <w:sz w:val="26"/>
                <w:szCs w:val="26"/>
              </w:rPr>
            </w:pPr>
            <w:r w:rsidRPr="00093EBB">
              <w:rPr>
                <w:rFonts w:ascii="Calibri" w:hAnsi="Calibri" w:cs="Calibri"/>
                <w:sz w:val="26"/>
                <w:szCs w:val="26"/>
              </w:rPr>
              <w:t>4.0</w:t>
            </w:r>
          </w:p>
        </w:tc>
        <w:tc>
          <w:tcPr>
            <w:tcW w:w="766" w:type="dxa"/>
            <w:tcBorders>
              <w:top w:val="nil"/>
              <w:left w:val="nil"/>
              <w:bottom w:val="nil"/>
              <w:right w:val="nil"/>
            </w:tcBorders>
            <w:shd w:val="clear" w:color="000000" w:fill="EDEDED"/>
            <w:noWrap/>
            <w:vAlign w:val="bottom"/>
            <w:hideMark/>
          </w:tcPr>
          <w:p w14:paraId="2819C317" w14:textId="00B336BD" w:rsidR="00456282" w:rsidRPr="00483CE6" w:rsidRDefault="00456282" w:rsidP="00456282">
            <w:pPr>
              <w:spacing w:line="360" w:lineRule="auto"/>
              <w:rPr>
                <w:sz w:val="26"/>
                <w:szCs w:val="26"/>
              </w:rPr>
            </w:pPr>
            <w:r w:rsidRPr="00093EBB">
              <w:rPr>
                <w:rFonts w:ascii="Calibri" w:hAnsi="Calibri" w:cs="Calibri"/>
                <w:sz w:val="26"/>
                <w:szCs w:val="26"/>
              </w:rPr>
              <w:t>4.5</w:t>
            </w:r>
          </w:p>
        </w:tc>
        <w:tc>
          <w:tcPr>
            <w:tcW w:w="779" w:type="dxa"/>
            <w:tcBorders>
              <w:top w:val="nil"/>
              <w:left w:val="nil"/>
              <w:bottom w:val="nil"/>
              <w:right w:val="nil"/>
            </w:tcBorders>
            <w:shd w:val="clear" w:color="000000" w:fill="EDEDED"/>
            <w:noWrap/>
            <w:vAlign w:val="bottom"/>
            <w:hideMark/>
          </w:tcPr>
          <w:p w14:paraId="7F5E2284" w14:textId="327406CA" w:rsidR="00456282" w:rsidRPr="00483CE6" w:rsidRDefault="00456282" w:rsidP="00456282">
            <w:pPr>
              <w:spacing w:line="360" w:lineRule="auto"/>
              <w:rPr>
                <w:sz w:val="26"/>
                <w:szCs w:val="26"/>
              </w:rPr>
            </w:pPr>
            <w:r w:rsidRPr="00093EBB">
              <w:rPr>
                <w:rFonts w:ascii="Calibri" w:hAnsi="Calibri" w:cs="Calibri"/>
                <w:sz w:val="26"/>
                <w:szCs w:val="26"/>
              </w:rPr>
              <w:t>4.0</w:t>
            </w:r>
          </w:p>
        </w:tc>
        <w:tc>
          <w:tcPr>
            <w:tcW w:w="779" w:type="dxa"/>
            <w:tcBorders>
              <w:top w:val="nil"/>
              <w:left w:val="nil"/>
              <w:bottom w:val="nil"/>
              <w:right w:val="nil"/>
            </w:tcBorders>
            <w:shd w:val="clear" w:color="000000" w:fill="EDEDED"/>
            <w:noWrap/>
            <w:vAlign w:val="bottom"/>
            <w:hideMark/>
          </w:tcPr>
          <w:p w14:paraId="595F2800" w14:textId="1F171E6F" w:rsidR="00456282" w:rsidRPr="00483CE6" w:rsidRDefault="00456282" w:rsidP="00456282">
            <w:pPr>
              <w:spacing w:line="360" w:lineRule="auto"/>
              <w:rPr>
                <w:sz w:val="26"/>
                <w:szCs w:val="26"/>
              </w:rPr>
            </w:pPr>
            <w:r w:rsidRPr="00093EBB">
              <w:rPr>
                <w:rFonts w:ascii="Calibri" w:hAnsi="Calibri" w:cs="Calibri"/>
                <w:sz w:val="26"/>
                <w:szCs w:val="26"/>
              </w:rPr>
              <w:t>4.0</w:t>
            </w:r>
          </w:p>
        </w:tc>
        <w:tc>
          <w:tcPr>
            <w:tcW w:w="830" w:type="dxa"/>
            <w:tcBorders>
              <w:top w:val="nil"/>
              <w:left w:val="nil"/>
              <w:bottom w:val="nil"/>
              <w:right w:val="single" w:sz="4" w:space="0" w:color="auto"/>
            </w:tcBorders>
            <w:shd w:val="clear" w:color="000000" w:fill="EDEDED"/>
            <w:noWrap/>
            <w:vAlign w:val="bottom"/>
            <w:hideMark/>
          </w:tcPr>
          <w:p w14:paraId="328E6031" w14:textId="2EA95785" w:rsidR="00456282" w:rsidRPr="00483CE6" w:rsidRDefault="00456282" w:rsidP="00456282">
            <w:pPr>
              <w:spacing w:line="360" w:lineRule="auto"/>
              <w:rPr>
                <w:sz w:val="26"/>
                <w:szCs w:val="26"/>
              </w:rPr>
            </w:pPr>
            <w:r w:rsidRPr="00093EBB">
              <w:rPr>
                <w:rFonts w:ascii="Calibri" w:hAnsi="Calibri" w:cs="Calibri"/>
                <w:sz w:val="26"/>
                <w:szCs w:val="26"/>
              </w:rPr>
              <w:t>4.0</w:t>
            </w:r>
          </w:p>
        </w:tc>
      </w:tr>
      <w:tr w:rsidR="00456282" w:rsidRPr="00483CE6" w14:paraId="792DF528" w14:textId="77777777" w:rsidTr="00456282">
        <w:trPr>
          <w:trHeight w:val="407"/>
        </w:trPr>
        <w:tc>
          <w:tcPr>
            <w:tcW w:w="4088" w:type="dxa"/>
            <w:noWrap/>
            <w:hideMark/>
          </w:tcPr>
          <w:p w14:paraId="5E370016" w14:textId="77777777" w:rsidR="00456282" w:rsidRPr="00483CE6" w:rsidRDefault="00456282" w:rsidP="00456282">
            <w:pPr>
              <w:spacing w:line="360" w:lineRule="auto"/>
              <w:rPr>
                <w:sz w:val="26"/>
                <w:szCs w:val="26"/>
              </w:rPr>
            </w:pPr>
            <w:r w:rsidRPr="00483CE6">
              <w:rPr>
                <w:sz w:val="26"/>
                <w:szCs w:val="26"/>
              </w:rPr>
              <w:t>Lãi suất vay danh nghĩa bên ngoài (%)</w:t>
            </w:r>
          </w:p>
        </w:tc>
        <w:tc>
          <w:tcPr>
            <w:tcW w:w="495" w:type="dxa"/>
            <w:noWrap/>
            <w:hideMark/>
          </w:tcPr>
          <w:p w14:paraId="7F0B3856" w14:textId="77777777" w:rsidR="00456282" w:rsidRPr="00483CE6" w:rsidRDefault="00456282" w:rsidP="00456282">
            <w:pPr>
              <w:spacing w:line="360" w:lineRule="auto"/>
              <w:rPr>
                <w:b/>
                <w:bCs/>
                <w:i/>
                <w:iCs/>
                <w:sz w:val="26"/>
                <w:szCs w:val="26"/>
              </w:rPr>
            </w:pPr>
            <w:r w:rsidRPr="00483CE6">
              <w:rPr>
                <w:b/>
                <w:bCs/>
                <w:i/>
                <w:iCs/>
                <w:sz w:val="26"/>
                <w:szCs w:val="26"/>
              </w:rPr>
              <w:t>i</w:t>
            </w:r>
            <w:r w:rsidRPr="00483CE6">
              <w:rPr>
                <w:b/>
                <w:bCs/>
                <w:i/>
                <w:iCs/>
                <w:sz w:val="26"/>
                <w:szCs w:val="26"/>
                <w:vertAlign w:val="superscript"/>
              </w:rPr>
              <w:t>f</w:t>
            </w:r>
          </w:p>
        </w:tc>
        <w:tc>
          <w:tcPr>
            <w:tcW w:w="816" w:type="dxa"/>
            <w:tcBorders>
              <w:top w:val="nil"/>
              <w:left w:val="nil"/>
              <w:bottom w:val="nil"/>
              <w:right w:val="nil"/>
            </w:tcBorders>
            <w:shd w:val="clear" w:color="auto" w:fill="auto"/>
            <w:noWrap/>
            <w:vAlign w:val="bottom"/>
            <w:hideMark/>
          </w:tcPr>
          <w:p w14:paraId="6C7D2E1B" w14:textId="65320352" w:rsidR="00456282" w:rsidRPr="00483CE6" w:rsidRDefault="00456282" w:rsidP="00456282">
            <w:pPr>
              <w:spacing w:line="360" w:lineRule="auto"/>
              <w:rPr>
                <w:sz w:val="26"/>
                <w:szCs w:val="26"/>
              </w:rPr>
            </w:pPr>
            <w:r w:rsidRPr="00093EBB">
              <w:rPr>
                <w:rFonts w:ascii="Calibri" w:hAnsi="Calibri" w:cs="Calibri"/>
                <w:color w:val="FF0000"/>
                <w:sz w:val="26"/>
                <w:szCs w:val="26"/>
              </w:rPr>
              <w:t>1.9</w:t>
            </w:r>
          </w:p>
        </w:tc>
        <w:tc>
          <w:tcPr>
            <w:tcW w:w="830" w:type="dxa"/>
            <w:tcBorders>
              <w:top w:val="nil"/>
              <w:left w:val="nil"/>
              <w:bottom w:val="nil"/>
              <w:right w:val="nil"/>
            </w:tcBorders>
            <w:shd w:val="clear" w:color="000000" w:fill="EDEDED"/>
            <w:noWrap/>
            <w:vAlign w:val="bottom"/>
            <w:hideMark/>
          </w:tcPr>
          <w:p w14:paraId="195EAD2F" w14:textId="505AD177" w:rsidR="00456282" w:rsidRPr="00483CE6" w:rsidRDefault="00456282" w:rsidP="00456282">
            <w:pPr>
              <w:spacing w:line="360" w:lineRule="auto"/>
              <w:rPr>
                <w:sz w:val="26"/>
                <w:szCs w:val="26"/>
              </w:rPr>
            </w:pPr>
            <w:r w:rsidRPr="00093EBB">
              <w:rPr>
                <w:rFonts w:ascii="Calibri" w:hAnsi="Calibri" w:cs="Calibri"/>
                <w:color w:val="FF0000"/>
                <w:sz w:val="26"/>
                <w:szCs w:val="26"/>
              </w:rPr>
              <w:t>3.0</w:t>
            </w:r>
          </w:p>
        </w:tc>
        <w:tc>
          <w:tcPr>
            <w:tcW w:w="766" w:type="dxa"/>
            <w:tcBorders>
              <w:top w:val="nil"/>
              <w:left w:val="nil"/>
              <w:bottom w:val="nil"/>
              <w:right w:val="nil"/>
            </w:tcBorders>
            <w:shd w:val="clear" w:color="000000" w:fill="EDEDED"/>
            <w:noWrap/>
            <w:vAlign w:val="bottom"/>
            <w:hideMark/>
          </w:tcPr>
          <w:p w14:paraId="6026A2CA" w14:textId="1517F83B" w:rsidR="00456282" w:rsidRPr="00483CE6" w:rsidRDefault="00456282" w:rsidP="00456282">
            <w:pPr>
              <w:spacing w:line="360" w:lineRule="auto"/>
              <w:rPr>
                <w:sz w:val="26"/>
                <w:szCs w:val="26"/>
              </w:rPr>
            </w:pPr>
            <w:r w:rsidRPr="00093EBB">
              <w:rPr>
                <w:rFonts w:ascii="Calibri" w:hAnsi="Calibri" w:cs="Calibri"/>
                <w:color w:val="FF0000"/>
                <w:sz w:val="26"/>
                <w:szCs w:val="26"/>
              </w:rPr>
              <w:t>3.5</w:t>
            </w:r>
          </w:p>
        </w:tc>
        <w:tc>
          <w:tcPr>
            <w:tcW w:w="779" w:type="dxa"/>
            <w:tcBorders>
              <w:top w:val="nil"/>
              <w:left w:val="nil"/>
              <w:bottom w:val="nil"/>
              <w:right w:val="nil"/>
            </w:tcBorders>
            <w:shd w:val="clear" w:color="000000" w:fill="EDEDED"/>
            <w:noWrap/>
            <w:vAlign w:val="bottom"/>
            <w:hideMark/>
          </w:tcPr>
          <w:p w14:paraId="453FFA7F" w14:textId="7222EB61" w:rsidR="00456282" w:rsidRPr="00483CE6" w:rsidRDefault="00456282" w:rsidP="00456282">
            <w:pPr>
              <w:spacing w:line="360" w:lineRule="auto"/>
              <w:rPr>
                <w:sz w:val="26"/>
                <w:szCs w:val="26"/>
              </w:rPr>
            </w:pPr>
            <w:r w:rsidRPr="00093EBB">
              <w:rPr>
                <w:rFonts w:ascii="Calibri" w:hAnsi="Calibri" w:cs="Calibri"/>
                <w:color w:val="FF0000"/>
                <w:sz w:val="26"/>
                <w:szCs w:val="26"/>
              </w:rPr>
              <w:t>3.2</w:t>
            </w:r>
          </w:p>
        </w:tc>
        <w:tc>
          <w:tcPr>
            <w:tcW w:w="779" w:type="dxa"/>
            <w:tcBorders>
              <w:top w:val="nil"/>
              <w:left w:val="nil"/>
              <w:bottom w:val="nil"/>
              <w:right w:val="nil"/>
            </w:tcBorders>
            <w:shd w:val="clear" w:color="000000" w:fill="EDEDED"/>
            <w:noWrap/>
            <w:vAlign w:val="bottom"/>
            <w:hideMark/>
          </w:tcPr>
          <w:p w14:paraId="4279AF2E" w14:textId="407B758B" w:rsidR="00456282" w:rsidRPr="00483CE6" w:rsidRDefault="00456282" w:rsidP="00456282">
            <w:pPr>
              <w:spacing w:line="360" w:lineRule="auto"/>
              <w:rPr>
                <w:sz w:val="26"/>
                <w:szCs w:val="26"/>
              </w:rPr>
            </w:pPr>
            <w:r w:rsidRPr="00093EBB">
              <w:rPr>
                <w:rFonts w:ascii="Calibri" w:hAnsi="Calibri" w:cs="Calibri"/>
                <w:color w:val="FF0000"/>
                <w:sz w:val="26"/>
                <w:szCs w:val="26"/>
              </w:rPr>
              <w:t>3.2</w:t>
            </w:r>
          </w:p>
        </w:tc>
        <w:tc>
          <w:tcPr>
            <w:tcW w:w="830" w:type="dxa"/>
            <w:tcBorders>
              <w:top w:val="nil"/>
              <w:left w:val="nil"/>
              <w:bottom w:val="nil"/>
              <w:right w:val="single" w:sz="4" w:space="0" w:color="auto"/>
            </w:tcBorders>
            <w:shd w:val="clear" w:color="000000" w:fill="EDEDED"/>
            <w:noWrap/>
            <w:vAlign w:val="bottom"/>
            <w:hideMark/>
          </w:tcPr>
          <w:p w14:paraId="514257C5" w14:textId="096B118B" w:rsidR="00456282" w:rsidRPr="00483CE6" w:rsidRDefault="00456282" w:rsidP="00456282">
            <w:pPr>
              <w:spacing w:line="360" w:lineRule="auto"/>
              <w:rPr>
                <w:sz w:val="26"/>
                <w:szCs w:val="26"/>
              </w:rPr>
            </w:pPr>
            <w:r w:rsidRPr="00093EBB">
              <w:rPr>
                <w:rFonts w:ascii="Calibri" w:hAnsi="Calibri" w:cs="Calibri"/>
                <w:color w:val="FF0000"/>
                <w:sz w:val="26"/>
                <w:szCs w:val="26"/>
              </w:rPr>
              <w:t>3.2</w:t>
            </w:r>
          </w:p>
        </w:tc>
      </w:tr>
      <w:tr w:rsidR="00456282" w:rsidRPr="00483CE6" w14:paraId="1C402F47" w14:textId="77777777" w:rsidTr="00456282">
        <w:trPr>
          <w:trHeight w:val="392"/>
        </w:trPr>
        <w:tc>
          <w:tcPr>
            <w:tcW w:w="4088" w:type="dxa"/>
            <w:noWrap/>
            <w:hideMark/>
          </w:tcPr>
          <w:p w14:paraId="73230281" w14:textId="77777777" w:rsidR="00456282" w:rsidRPr="00483CE6" w:rsidRDefault="00456282" w:rsidP="00456282">
            <w:pPr>
              <w:spacing w:line="360" w:lineRule="auto"/>
              <w:rPr>
                <w:sz w:val="26"/>
                <w:szCs w:val="26"/>
              </w:rPr>
            </w:pPr>
            <w:r w:rsidRPr="00483CE6">
              <w:rPr>
                <w:sz w:val="26"/>
                <w:szCs w:val="26"/>
              </w:rPr>
              <w:t>Mất giá nội tệ (%)</w:t>
            </w:r>
          </w:p>
        </w:tc>
        <w:tc>
          <w:tcPr>
            <w:tcW w:w="495" w:type="dxa"/>
            <w:noWrap/>
            <w:hideMark/>
          </w:tcPr>
          <w:p w14:paraId="2123FC30" w14:textId="77777777" w:rsidR="00456282" w:rsidRPr="00483CE6" w:rsidRDefault="00456282" w:rsidP="00456282">
            <w:pPr>
              <w:spacing w:line="360" w:lineRule="auto"/>
              <w:rPr>
                <w:b/>
                <w:bCs/>
                <w:i/>
                <w:iCs/>
                <w:sz w:val="26"/>
                <w:szCs w:val="26"/>
              </w:rPr>
            </w:pPr>
            <w:r w:rsidRPr="00483CE6">
              <w:rPr>
                <w:b/>
                <w:bCs/>
                <w:i/>
                <w:iCs/>
                <w:sz w:val="26"/>
                <w:szCs w:val="26"/>
              </w:rPr>
              <w:t>ε</w:t>
            </w:r>
          </w:p>
        </w:tc>
        <w:tc>
          <w:tcPr>
            <w:tcW w:w="816" w:type="dxa"/>
            <w:tcBorders>
              <w:top w:val="nil"/>
              <w:left w:val="nil"/>
              <w:bottom w:val="nil"/>
              <w:right w:val="nil"/>
            </w:tcBorders>
            <w:shd w:val="clear" w:color="auto" w:fill="auto"/>
            <w:noWrap/>
            <w:vAlign w:val="bottom"/>
            <w:hideMark/>
          </w:tcPr>
          <w:p w14:paraId="7C8E7182" w14:textId="125A8B5D" w:rsidR="00456282" w:rsidRPr="00483CE6" w:rsidRDefault="00456282" w:rsidP="00456282">
            <w:pPr>
              <w:spacing w:line="360" w:lineRule="auto"/>
              <w:rPr>
                <w:sz w:val="26"/>
                <w:szCs w:val="26"/>
              </w:rPr>
            </w:pPr>
            <w:r w:rsidRPr="00093EBB">
              <w:rPr>
                <w:rFonts w:ascii="Calibri" w:hAnsi="Calibri" w:cs="Calibri"/>
                <w:color w:val="000000"/>
                <w:sz w:val="26"/>
                <w:szCs w:val="26"/>
              </w:rPr>
              <w:t>0.1</w:t>
            </w:r>
          </w:p>
        </w:tc>
        <w:tc>
          <w:tcPr>
            <w:tcW w:w="830" w:type="dxa"/>
            <w:tcBorders>
              <w:top w:val="nil"/>
              <w:left w:val="nil"/>
              <w:bottom w:val="nil"/>
              <w:right w:val="nil"/>
            </w:tcBorders>
            <w:shd w:val="clear" w:color="000000" w:fill="EDEDED"/>
            <w:noWrap/>
            <w:vAlign w:val="bottom"/>
            <w:hideMark/>
          </w:tcPr>
          <w:p w14:paraId="7FA591A4" w14:textId="5D42064E" w:rsidR="00456282" w:rsidRPr="00483CE6" w:rsidRDefault="00456282" w:rsidP="00456282">
            <w:pPr>
              <w:spacing w:line="360" w:lineRule="auto"/>
              <w:rPr>
                <w:sz w:val="26"/>
                <w:szCs w:val="26"/>
              </w:rPr>
            </w:pPr>
            <w:r w:rsidRPr="00093EBB">
              <w:rPr>
                <w:rFonts w:ascii="Calibri" w:hAnsi="Calibri" w:cs="Calibri"/>
                <w:sz w:val="26"/>
                <w:szCs w:val="26"/>
              </w:rPr>
              <w:t>6.0</w:t>
            </w:r>
          </w:p>
        </w:tc>
        <w:tc>
          <w:tcPr>
            <w:tcW w:w="766" w:type="dxa"/>
            <w:tcBorders>
              <w:top w:val="nil"/>
              <w:left w:val="nil"/>
              <w:bottom w:val="nil"/>
              <w:right w:val="nil"/>
            </w:tcBorders>
            <w:shd w:val="clear" w:color="000000" w:fill="EDEDED"/>
            <w:noWrap/>
            <w:vAlign w:val="bottom"/>
            <w:hideMark/>
          </w:tcPr>
          <w:p w14:paraId="0DD145E1" w14:textId="0BC0C55D" w:rsidR="00456282" w:rsidRPr="00483CE6" w:rsidRDefault="00456282" w:rsidP="00456282">
            <w:pPr>
              <w:spacing w:line="360" w:lineRule="auto"/>
              <w:rPr>
                <w:sz w:val="26"/>
                <w:szCs w:val="26"/>
              </w:rPr>
            </w:pPr>
            <w:r w:rsidRPr="00093EBB">
              <w:rPr>
                <w:rFonts w:ascii="Calibri" w:hAnsi="Calibri" w:cs="Calibri"/>
                <w:sz w:val="26"/>
                <w:szCs w:val="26"/>
              </w:rPr>
              <w:t>2.0</w:t>
            </w:r>
          </w:p>
        </w:tc>
        <w:tc>
          <w:tcPr>
            <w:tcW w:w="779" w:type="dxa"/>
            <w:tcBorders>
              <w:top w:val="nil"/>
              <w:left w:val="nil"/>
              <w:bottom w:val="nil"/>
              <w:right w:val="nil"/>
            </w:tcBorders>
            <w:shd w:val="clear" w:color="000000" w:fill="EDEDED"/>
            <w:noWrap/>
            <w:vAlign w:val="bottom"/>
            <w:hideMark/>
          </w:tcPr>
          <w:p w14:paraId="3072819C" w14:textId="6FE6F2D1" w:rsidR="00456282" w:rsidRPr="00483CE6" w:rsidRDefault="00456282" w:rsidP="00456282">
            <w:pPr>
              <w:spacing w:line="360" w:lineRule="auto"/>
              <w:rPr>
                <w:sz w:val="26"/>
                <w:szCs w:val="26"/>
              </w:rPr>
            </w:pPr>
            <w:r w:rsidRPr="00093EBB">
              <w:rPr>
                <w:rFonts w:ascii="Calibri" w:hAnsi="Calibri" w:cs="Calibri"/>
                <w:sz w:val="26"/>
                <w:szCs w:val="26"/>
              </w:rPr>
              <w:t>2.0</w:t>
            </w:r>
          </w:p>
        </w:tc>
        <w:tc>
          <w:tcPr>
            <w:tcW w:w="779" w:type="dxa"/>
            <w:tcBorders>
              <w:top w:val="nil"/>
              <w:left w:val="nil"/>
              <w:bottom w:val="nil"/>
              <w:right w:val="nil"/>
            </w:tcBorders>
            <w:shd w:val="clear" w:color="000000" w:fill="EDEDED"/>
            <w:noWrap/>
            <w:vAlign w:val="bottom"/>
            <w:hideMark/>
          </w:tcPr>
          <w:p w14:paraId="33E31258" w14:textId="79838DAA" w:rsidR="00456282" w:rsidRPr="00483CE6" w:rsidRDefault="00456282" w:rsidP="00456282">
            <w:pPr>
              <w:spacing w:line="360" w:lineRule="auto"/>
              <w:rPr>
                <w:sz w:val="26"/>
                <w:szCs w:val="26"/>
              </w:rPr>
            </w:pPr>
            <w:r w:rsidRPr="00093EBB">
              <w:rPr>
                <w:rFonts w:ascii="Calibri" w:hAnsi="Calibri" w:cs="Calibri"/>
                <w:sz w:val="26"/>
                <w:szCs w:val="26"/>
              </w:rPr>
              <w:t>2.0</w:t>
            </w:r>
          </w:p>
        </w:tc>
        <w:tc>
          <w:tcPr>
            <w:tcW w:w="830" w:type="dxa"/>
            <w:tcBorders>
              <w:top w:val="nil"/>
              <w:left w:val="nil"/>
              <w:bottom w:val="nil"/>
              <w:right w:val="single" w:sz="4" w:space="0" w:color="auto"/>
            </w:tcBorders>
            <w:shd w:val="clear" w:color="000000" w:fill="EDEDED"/>
            <w:noWrap/>
            <w:vAlign w:val="bottom"/>
            <w:hideMark/>
          </w:tcPr>
          <w:p w14:paraId="29437730" w14:textId="655C9D87" w:rsidR="00456282" w:rsidRPr="00483CE6" w:rsidRDefault="00456282" w:rsidP="00456282">
            <w:pPr>
              <w:spacing w:line="360" w:lineRule="auto"/>
              <w:rPr>
                <w:sz w:val="26"/>
                <w:szCs w:val="26"/>
              </w:rPr>
            </w:pPr>
            <w:r w:rsidRPr="00093EBB">
              <w:rPr>
                <w:rFonts w:ascii="Calibri" w:hAnsi="Calibri" w:cs="Calibri"/>
                <w:sz w:val="26"/>
                <w:szCs w:val="26"/>
              </w:rPr>
              <w:t>2.0</w:t>
            </w:r>
          </w:p>
        </w:tc>
      </w:tr>
      <w:tr w:rsidR="00456282" w:rsidRPr="00483CE6" w14:paraId="2BF19765" w14:textId="77777777" w:rsidTr="00456282">
        <w:trPr>
          <w:trHeight w:val="392"/>
        </w:trPr>
        <w:tc>
          <w:tcPr>
            <w:tcW w:w="4088" w:type="dxa"/>
            <w:noWrap/>
            <w:hideMark/>
          </w:tcPr>
          <w:p w14:paraId="65626B2A" w14:textId="77777777" w:rsidR="00456282" w:rsidRPr="00483CE6" w:rsidRDefault="00456282" w:rsidP="00456282">
            <w:pPr>
              <w:spacing w:line="360" w:lineRule="auto"/>
              <w:rPr>
                <w:sz w:val="26"/>
                <w:szCs w:val="26"/>
              </w:rPr>
            </w:pPr>
            <w:r w:rsidRPr="00483CE6">
              <w:rPr>
                <w:sz w:val="26"/>
                <w:szCs w:val="26"/>
              </w:rPr>
              <w:t>Tỷ lệ nợ nước ngoài (% of total)</w:t>
            </w:r>
          </w:p>
        </w:tc>
        <w:tc>
          <w:tcPr>
            <w:tcW w:w="495" w:type="dxa"/>
            <w:noWrap/>
            <w:hideMark/>
          </w:tcPr>
          <w:p w14:paraId="0BB62931" w14:textId="77777777" w:rsidR="00456282" w:rsidRPr="00483CE6" w:rsidRDefault="00456282" w:rsidP="00456282">
            <w:pPr>
              <w:spacing w:line="360" w:lineRule="auto"/>
              <w:rPr>
                <w:b/>
                <w:bCs/>
                <w:i/>
                <w:iCs/>
                <w:sz w:val="26"/>
                <w:szCs w:val="26"/>
              </w:rPr>
            </w:pPr>
            <w:r w:rsidRPr="00483CE6">
              <w:rPr>
                <w:b/>
                <w:bCs/>
                <w:i/>
                <w:iCs/>
                <w:sz w:val="26"/>
                <w:szCs w:val="26"/>
              </w:rPr>
              <w:t>α</w:t>
            </w:r>
          </w:p>
        </w:tc>
        <w:tc>
          <w:tcPr>
            <w:tcW w:w="816" w:type="dxa"/>
            <w:tcBorders>
              <w:top w:val="nil"/>
              <w:left w:val="nil"/>
              <w:bottom w:val="nil"/>
              <w:right w:val="nil"/>
            </w:tcBorders>
            <w:shd w:val="clear" w:color="auto" w:fill="auto"/>
            <w:noWrap/>
            <w:vAlign w:val="bottom"/>
            <w:hideMark/>
          </w:tcPr>
          <w:p w14:paraId="6656E4BC" w14:textId="7AE1B535" w:rsidR="00456282" w:rsidRPr="00483CE6" w:rsidRDefault="00456282" w:rsidP="00456282">
            <w:pPr>
              <w:spacing w:line="360" w:lineRule="auto"/>
              <w:rPr>
                <w:sz w:val="26"/>
                <w:szCs w:val="26"/>
              </w:rPr>
            </w:pPr>
            <w:r w:rsidRPr="00093EBB">
              <w:rPr>
                <w:rFonts w:ascii="Calibri" w:hAnsi="Calibri" w:cs="Calibri"/>
                <w:color w:val="FF0000"/>
                <w:sz w:val="26"/>
                <w:szCs w:val="26"/>
              </w:rPr>
              <w:t>38.0</w:t>
            </w:r>
          </w:p>
        </w:tc>
        <w:tc>
          <w:tcPr>
            <w:tcW w:w="830" w:type="dxa"/>
            <w:tcBorders>
              <w:top w:val="nil"/>
              <w:left w:val="nil"/>
              <w:bottom w:val="nil"/>
              <w:right w:val="nil"/>
            </w:tcBorders>
            <w:shd w:val="clear" w:color="000000" w:fill="EDEDED"/>
            <w:noWrap/>
            <w:vAlign w:val="bottom"/>
            <w:hideMark/>
          </w:tcPr>
          <w:p w14:paraId="2E91F962" w14:textId="332A88C7" w:rsidR="00456282" w:rsidRPr="00483CE6" w:rsidRDefault="00456282" w:rsidP="00456282">
            <w:pPr>
              <w:spacing w:line="360" w:lineRule="auto"/>
              <w:rPr>
                <w:sz w:val="26"/>
                <w:szCs w:val="26"/>
              </w:rPr>
            </w:pPr>
            <w:r w:rsidRPr="00093EBB">
              <w:rPr>
                <w:rFonts w:ascii="Calibri" w:hAnsi="Calibri" w:cs="Calibri"/>
                <w:color w:val="FF0000"/>
                <w:sz w:val="26"/>
                <w:szCs w:val="26"/>
              </w:rPr>
              <w:t>38.0</w:t>
            </w:r>
          </w:p>
        </w:tc>
        <w:tc>
          <w:tcPr>
            <w:tcW w:w="766" w:type="dxa"/>
            <w:tcBorders>
              <w:top w:val="nil"/>
              <w:left w:val="nil"/>
              <w:bottom w:val="nil"/>
              <w:right w:val="nil"/>
            </w:tcBorders>
            <w:shd w:val="clear" w:color="000000" w:fill="EDEDED"/>
            <w:noWrap/>
            <w:vAlign w:val="bottom"/>
            <w:hideMark/>
          </w:tcPr>
          <w:p w14:paraId="3118EC76" w14:textId="56637680" w:rsidR="00456282" w:rsidRPr="00483CE6" w:rsidRDefault="00456282" w:rsidP="00456282">
            <w:pPr>
              <w:spacing w:line="360" w:lineRule="auto"/>
              <w:rPr>
                <w:sz w:val="26"/>
                <w:szCs w:val="26"/>
              </w:rPr>
            </w:pPr>
            <w:r w:rsidRPr="00093EBB">
              <w:rPr>
                <w:rFonts w:ascii="Calibri" w:hAnsi="Calibri" w:cs="Calibri"/>
                <w:color w:val="FF0000"/>
                <w:sz w:val="26"/>
                <w:szCs w:val="26"/>
              </w:rPr>
              <w:t>38.0</w:t>
            </w:r>
          </w:p>
        </w:tc>
        <w:tc>
          <w:tcPr>
            <w:tcW w:w="779" w:type="dxa"/>
            <w:tcBorders>
              <w:top w:val="nil"/>
              <w:left w:val="nil"/>
              <w:bottom w:val="nil"/>
              <w:right w:val="nil"/>
            </w:tcBorders>
            <w:shd w:val="clear" w:color="000000" w:fill="EDEDED"/>
            <w:noWrap/>
            <w:vAlign w:val="bottom"/>
            <w:hideMark/>
          </w:tcPr>
          <w:p w14:paraId="243425C3" w14:textId="06A637CE" w:rsidR="00456282" w:rsidRPr="00483CE6" w:rsidRDefault="00456282" w:rsidP="00456282">
            <w:pPr>
              <w:spacing w:line="360" w:lineRule="auto"/>
              <w:rPr>
                <w:sz w:val="26"/>
                <w:szCs w:val="26"/>
              </w:rPr>
            </w:pPr>
            <w:r w:rsidRPr="00093EBB">
              <w:rPr>
                <w:rFonts w:ascii="Calibri" w:hAnsi="Calibri" w:cs="Calibri"/>
                <w:color w:val="FF0000"/>
                <w:sz w:val="26"/>
                <w:szCs w:val="26"/>
              </w:rPr>
              <w:t>38.0</w:t>
            </w:r>
          </w:p>
        </w:tc>
        <w:tc>
          <w:tcPr>
            <w:tcW w:w="779" w:type="dxa"/>
            <w:tcBorders>
              <w:top w:val="nil"/>
              <w:left w:val="nil"/>
              <w:bottom w:val="nil"/>
              <w:right w:val="nil"/>
            </w:tcBorders>
            <w:shd w:val="clear" w:color="000000" w:fill="EDEDED"/>
            <w:noWrap/>
            <w:vAlign w:val="bottom"/>
            <w:hideMark/>
          </w:tcPr>
          <w:p w14:paraId="7F997AD5" w14:textId="6A72BF32" w:rsidR="00456282" w:rsidRPr="00483CE6" w:rsidRDefault="00456282" w:rsidP="00456282">
            <w:pPr>
              <w:spacing w:line="360" w:lineRule="auto"/>
              <w:rPr>
                <w:sz w:val="26"/>
                <w:szCs w:val="26"/>
              </w:rPr>
            </w:pPr>
            <w:r w:rsidRPr="00093EBB">
              <w:rPr>
                <w:rFonts w:ascii="Calibri" w:hAnsi="Calibri" w:cs="Calibri"/>
                <w:color w:val="FF0000"/>
                <w:sz w:val="26"/>
                <w:szCs w:val="26"/>
              </w:rPr>
              <w:t>38.0</w:t>
            </w:r>
          </w:p>
        </w:tc>
        <w:tc>
          <w:tcPr>
            <w:tcW w:w="830" w:type="dxa"/>
            <w:tcBorders>
              <w:top w:val="nil"/>
              <w:left w:val="nil"/>
              <w:bottom w:val="nil"/>
              <w:right w:val="single" w:sz="4" w:space="0" w:color="auto"/>
            </w:tcBorders>
            <w:shd w:val="clear" w:color="000000" w:fill="EDEDED"/>
            <w:noWrap/>
            <w:vAlign w:val="bottom"/>
            <w:hideMark/>
          </w:tcPr>
          <w:p w14:paraId="3E0A4B25" w14:textId="47C62B8C" w:rsidR="00456282" w:rsidRPr="00483CE6" w:rsidRDefault="00456282" w:rsidP="00456282">
            <w:pPr>
              <w:spacing w:line="360" w:lineRule="auto"/>
              <w:rPr>
                <w:sz w:val="26"/>
                <w:szCs w:val="26"/>
              </w:rPr>
            </w:pPr>
            <w:r w:rsidRPr="00093EBB">
              <w:rPr>
                <w:rFonts w:ascii="Calibri" w:hAnsi="Calibri" w:cs="Calibri"/>
                <w:color w:val="FF0000"/>
                <w:sz w:val="26"/>
                <w:szCs w:val="26"/>
              </w:rPr>
              <w:t>38.0</w:t>
            </w:r>
          </w:p>
        </w:tc>
      </w:tr>
      <w:tr w:rsidR="00456282" w:rsidRPr="00483CE6" w14:paraId="4D25AA37" w14:textId="77777777" w:rsidTr="00456282">
        <w:trPr>
          <w:trHeight w:val="392"/>
        </w:trPr>
        <w:tc>
          <w:tcPr>
            <w:tcW w:w="4088" w:type="dxa"/>
            <w:noWrap/>
            <w:hideMark/>
          </w:tcPr>
          <w:p w14:paraId="6E49C612" w14:textId="77777777" w:rsidR="00456282" w:rsidRPr="00483CE6" w:rsidRDefault="00456282" w:rsidP="00456282">
            <w:pPr>
              <w:spacing w:line="360" w:lineRule="auto"/>
              <w:rPr>
                <w:sz w:val="26"/>
                <w:szCs w:val="26"/>
              </w:rPr>
            </w:pPr>
            <w:r w:rsidRPr="00483CE6">
              <w:rPr>
                <w:sz w:val="26"/>
                <w:szCs w:val="26"/>
              </w:rPr>
              <w:t>Lãi suất thực hiệu dụng trong nước (%)</w:t>
            </w:r>
          </w:p>
        </w:tc>
        <w:tc>
          <w:tcPr>
            <w:tcW w:w="495" w:type="dxa"/>
            <w:noWrap/>
            <w:hideMark/>
          </w:tcPr>
          <w:p w14:paraId="1F408C37" w14:textId="77777777" w:rsidR="00456282" w:rsidRPr="00483CE6" w:rsidRDefault="00456282" w:rsidP="00456282">
            <w:pPr>
              <w:spacing w:line="360" w:lineRule="auto"/>
              <w:rPr>
                <w:b/>
                <w:bCs/>
                <w:i/>
                <w:iCs/>
                <w:sz w:val="26"/>
                <w:szCs w:val="26"/>
              </w:rPr>
            </w:pPr>
            <w:r w:rsidRPr="00483CE6">
              <w:rPr>
                <w:b/>
                <w:bCs/>
                <w:i/>
                <w:iCs/>
                <w:sz w:val="26"/>
                <w:szCs w:val="26"/>
              </w:rPr>
              <w:t>r</w:t>
            </w:r>
          </w:p>
        </w:tc>
        <w:tc>
          <w:tcPr>
            <w:tcW w:w="816" w:type="dxa"/>
            <w:tcBorders>
              <w:top w:val="nil"/>
              <w:left w:val="nil"/>
              <w:bottom w:val="nil"/>
              <w:right w:val="nil"/>
            </w:tcBorders>
            <w:shd w:val="clear" w:color="auto" w:fill="auto"/>
            <w:noWrap/>
            <w:vAlign w:val="bottom"/>
            <w:hideMark/>
          </w:tcPr>
          <w:p w14:paraId="0A4FCE36" w14:textId="36CDC7E5" w:rsidR="00456282" w:rsidRPr="00483CE6" w:rsidRDefault="00456282" w:rsidP="00456282">
            <w:pPr>
              <w:spacing w:line="360" w:lineRule="auto"/>
              <w:rPr>
                <w:sz w:val="26"/>
                <w:szCs w:val="26"/>
              </w:rPr>
            </w:pPr>
            <w:r w:rsidRPr="00093EBB">
              <w:rPr>
                <w:rFonts w:ascii="Calibri" w:hAnsi="Calibri" w:cs="Calibri"/>
                <w:color w:val="000000"/>
                <w:sz w:val="26"/>
                <w:szCs w:val="26"/>
              </w:rPr>
              <w:t>2.0</w:t>
            </w:r>
          </w:p>
        </w:tc>
        <w:tc>
          <w:tcPr>
            <w:tcW w:w="830" w:type="dxa"/>
            <w:tcBorders>
              <w:top w:val="nil"/>
              <w:left w:val="nil"/>
              <w:bottom w:val="nil"/>
              <w:right w:val="nil"/>
            </w:tcBorders>
            <w:shd w:val="clear" w:color="000000" w:fill="A3D8EB"/>
            <w:noWrap/>
            <w:vAlign w:val="bottom"/>
            <w:hideMark/>
          </w:tcPr>
          <w:p w14:paraId="32A691E2" w14:textId="64A509E4" w:rsidR="00456282" w:rsidRPr="00483CE6" w:rsidRDefault="00456282" w:rsidP="00456282">
            <w:pPr>
              <w:spacing w:line="360" w:lineRule="auto"/>
              <w:rPr>
                <w:sz w:val="26"/>
                <w:szCs w:val="26"/>
              </w:rPr>
            </w:pPr>
            <w:r w:rsidRPr="00093EBB">
              <w:rPr>
                <w:rFonts w:ascii="Calibri" w:hAnsi="Calibri" w:cs="Calibri"/>
                <w:color w:val="000000"/>
                <w:sz w:val="26"/>
                <w:szCs w:val="26"/>
              </w:rPr>
              <w:t>2.0</w:t>
            </w:r>
          </w:p>
        </w:tc>
        <w:tc>
          <w:tcPr>
            <w:tcW w:w="766" w:type="dxa"/>
            <w:tcBorders>
              <w:top w:val="nil"/>
              <w:left w:val="nil"/>
              <w:bottom w:val="nil"/>
              <w:right w:val="nil"/>
            </w:tcBorders>
            <w:shd w:val="clear" w:color="000000" w:fill="A3D8EB"/>
            <w:noWrap/>
            <w:vAlign w:val="bottom"/>
            <w:hideMark/>
          </w:tcPr>
          <w:p w14:paraId="3B3761A5" w14:textId="0DC08C1E" w:rsidR="00456282" w:rsidRPr="00483CE6" w:rsidRDefault="00456282" w:rsidP="00456282">
            <w:pPr>
              <w:spacing w:line="360" w:lineRule="auto"/>
              <w:rPr>
                <w:sz w:val="26"/>
                <w:szCs w:val="26"/>
              </w:rPr>
            </w:pPr>
            <w:r w:rsidRPr="00093EBB">
              <w:rPr>
                <w:rFonts w:ascii="Calibri" w:hAnsi="Calibri" w:cs="Calibri"/>
                <w:color w:val="000000"/>
                <w:sz w:val="26"/>
                <w:szCs w:val="26"/>
              </w:rPr>
              <w:t>2.0</w:t>
            </w:r>
          </w:p>
        </w:tc>
        <w:tc>
          <w:tcPr>
            <w:tcW w:w="779" w:type="dxa"/>
            <w:tcBorders>
              <w:top w:val="nil"/>
              <w:left w:val="nil"/>
              <w:bottom w:val="nil"/>
              <w:right w:val="nil"/>
            </w:tcBorders>
            <w:shd w:val="clear" w:color="000000" w:fill="A3D8EB"/>
            <w:noWrap/>
            <w:vAlign w:val="bottom"/>
            <w:hideMark/>
          </w:tcPr>
          <w:p w14:paraId="56A9C8E9" w14:textId="6869A6DA" w:rsidR="00456282" w:rsidRPr="00483CE6" w:rsidRDefault="00456282" w:rsidP="00456282">
            <w:pPr>
              <w:spacing w:line="360" w:lineRule="auto"/>
              <w:rPr>
                <w:sz w:val="26"/>
                <w:szCs w:val="26"/>
              </w:rPr>
            </w:pPr>
            <w:r w:rsidRPr="00093EBB">
              <w:rPr>
                <w:rFonts w:ascii="Calibri" w:hAnsi="Calibri" w:cs="Calibri"/>
                <w:color w:val="000000"/>
                <w:sz w:val="26"/>
                <w:szCs w:val="26"/>
              </w:rPr>
              <w:t>0.7</w:t>
            </w:r>
          </w:p>
        </w:tc>
        <w:tc>
          <w:tcPr>
            <w:tcW w:w="779" w:type="dxa"/>
            <w:tcBorders>
              <w:top w:val="nil"/>
              <w:left w:val="nil"/>
              <w:bottom w:val="nil"/>
              <w:right w:val="nil"/>
            </w:tcBorders>
            <w:shd w:val="clear" w:color="000000" w:fill="A3D8EB"/>
            <w:noWrap/>
            <w:vAlign w:val="bottom"/>
            <w:hideMark/>
          </w:tcPr>
          <w:p w14:paraId="4A8D87E8" w14:textId="12CAFB71" w:rsidR="00456282" w:rsidRPr="00483CE6" w:rsidRDefault="00456282" w:rsidP="00456282">
            <w:pPr>
              <w:spacing w:line="360" w:lineRule="auto"/>
              <w:rPr>
                <w:sz w:val="26"/>
                <w:szCs w:val="26"/>
              </w:rPr>
            </w:pPr>
            <w:r w:rsidRPr="00093EBB">
              <w:rPr>
                <w:rFonts w:ascii="Calibri" w:hAnsi="Calibri" w:cs="Calibri"/>
                <w:color w:val="000000"/>
                <w:sz w:val="26"/>
                <w:szCs w:val="26"/>
              </w:rPr>
              <w:t>0.7</w:t>
            </w:r>
          </w:p>
        </w:tc>
        <w:tc>
          <w:tcPr>
            <w:tcW w:w="830" w:type="dxa"/>
            <w:tcBorders>
              <w:top w:val="nil"/>
              <w:left w:val="nil"/>
              <w:bottom w:val="nil"/>
              <w:right w:val="single" w:sz="4" w:space="0" w:color="auto"/>
            </w:tcBorders>
            <w:shd w:val="clear" w:color="000000" w:fill="A3D8EB"/>
            <w:noWrap/>
            <w:vAlign w:val="bottom"/>
            <w:hideMark/>
          </w:tcPr>
          <w:p w14:paraId="32A3B363" w14:textId="3E53E60F" w:rsidR="00456282" w:rsidRPr="00483CE6" w:rsidRDefault="00456282" w:rsidP="00456282">
            <w:pPr>
              <w:spacing w:line="360" w:lineRule="auto"/>
              <w:rPr>
                <w:sz w:val="26"/>
                <w:szCs w:val="26"/>
              </w:rPr>
            </w:pPr>
            <w:r w:rsidRPr="00093EBB">
              <w:rPr>
                <w:rFonts w:ascii="Calibri" w:hAnsi="Calibri" w:cs="Calibri"/>
                <w:color w:val="000000"/>
                <w:sz w:val="26"/>
                <w:szCs w:val="26"/>
              </w:rPr>
              <w:t>0.7</w:t>
            </w:r>
          </w:p>
        </w:tc>
      </w:tr>
      <w:tr w:rsidR="00456282" w:rsidRPr="00483CE6" w14:paraId="131BDEF8" w14:textId="77777777" w:rsidTr="00456282">
        <w:trPr>
          <w:trHeight w:val="392"/>
        </w:trPr>
        <w:tc>
          <w:tcPr>
            <w:tcW w:w="4088" w:type="dxa"/>
            <w:noWrap/>
            <w:hideMark/>
          </w:tcPr>
          <w:p w14:paraId="38FFE43C" w14:textId="77777777" w:rsidR="00456282" w:rsidRPr="00483CE6" w:rsidRDefault="00456282" w:rsidP="00456282">
            <w:pPr>
              <w:spacing w:line="360" w:lineRule="auto"/>
              <w:rPr>
                <w:sz w:val="26"/>
                <w:szCs w:val="26"/>
              </w:rPr>
            </w:pPr>
            <w:r w:rsidRPr="00483CE6">
              <w:rPr>
                <w:sz w:val="26"/>
                <w:szCs w:val="26"/>
              </w:rPr>
              <w:t>Lãi suất thực hiệu dụng nước ngoài (%)</w:t>
            </w:r>
          </w:p>
        </w:tc>
        <w:tc>
          <w:tcPr>
            <w:tcW w:w="495" w:type="dxa"/>
            <w:noWrap/>
            <w:hideMark/>
          </w:tcPr>
          <w:p w14:paraId="4BE3ACFC" w14:textId="77777777" w:rsidR="00456282" w:rsidRPr="00483CE6" w:rsidRDefault="00456282" w:rsidP="00456282">
            <w:pPr>
              <w:spacing w:line="360" w:lineRule="auto"/>
              <w:rPr>
                <w:b/>
                <w:bCs/>
                <w:i/>
                <w:iCs/>
                <w:sz w:val="26"/>
                <w:szCs w:val="26"/>
              </w:rPr>
            </w:pPr>
            <w:r w:rsidRPr="00483CE6">
              <w:rPr>
                <w:b/>
                <w:bCs/>
                <w:i/>
                <w:iCs/>
                <w:sz w:val="26"/>
                <w:szCs w:val="26"/>
              </w:rPr>
              <w:t>r</w:t>
            </w:r>
            <w:r w:rsidRPr="00483CE6">
              <w:rPr>
                <w:b/>
                <w:bCs/>
                <w:i/>
                <w:iCs/>
                <w:sz w:val="26"/>
                <w:szCs w:val="26"/>
                <w:vertAlign w:val="superscript"/>
              </w:rPr>
              <w:t>f</w:t>
            </w:r>
          </w:p>
        </w:tc>
        <w:tc>
          <w:tcPr>
            <w:tcW w:w="816" w:type="dxa"/>
            <w:tcBorders>
              <w:top w:val="nil"/>
              <w:left w:val="nil"/>
              <w:bottom w:val="nil"/>
              <w:right w:val="nil"/>
            </w:tcBorders>
            <w:shd w:val="clear" w:color="auto" w:fill="auto"/>
            <w:noWrap/>
            <w:vAlign w:val="bottom"/>
            <w:hideMark/>
          </w:tcPr>
          <w:p w14:paraId="78701B8E" w14:textId="26036A0F" w:rsidR="00456282" w:rsidRPr="00483CE6" w:rsidRDefault="00456282" w:rsidP="00456282">
            <w:pPr>
              <w:spacing w:line="360" w:lineRule="auto"/>
              <w:rPr>
                <w:sz w:val="26"/>
                <w:szCs w:val="26"/>
              </w:rPr>
            </w:pPr>
            <w:r w:rsidRPr="00093EBB">
              <w:rPr>
                <w:rFonts w:ascii="Calibri" w:hAnsi="Calibri" w:cs="Calibri"/>
                <w:color w:val="000000"/>
                <w:sz w:val="26"/>
                <w:szCs w:val="26"/>
              </w:rPr>
              <w:t>0.0</w:t>
            </w:r>
          </w:p>
        </w:tc>
        <w:tc>
          <w:tcPr>
            <w:tcW w:w="830" w:type="dxa"/>
            <w:tcBorders>
              <w:top w:val="nil"/>
              <w:left w:val="nil"/>
              <w:bottom w:val="nil"/>
              <w:right w:val="nil"/>
            </w:tcBorders>
            <w:shd w:val="clear" w:color="000000" w:fill="A3D8EB"/>
            <w:noWrap/>
            <w:vAlign w:val="bottom"/>
            <w:hideMark/>
          </w:tcPr>
          <w:p w14:paraId="7FDE18E2" w14:textId="1F62CCC4" w:rsidR="00456282" w:rsidRPr="00483CE6" w:rsidRDefault="00456282" w:rsidP="00456282">
            <w:pPr>
              <w:spacing w:line="360" w:lineRule="auto"/>
              <w:rPr>
                <w:sz w:val="26"/>
                <w:szCs w:val="26"/>
              </w:rPr>
            </w:pPr>
            <w:r w:rsidRPr="00093EBB">
              <w:rPr>
                <w:rFonts w:ascii="Calibri" w:hAnsi="Calibri" w:cs="Calibri"/>
                <w:color w:val="000000"/>
                <w:sz w:val="26"/>
                <w:szCs w:val="26"/>
              </w:rPr>
              <w:t>5.0</w:t>
            </w:r>
          </w:p>
        </w:tc>
        <w:tc>
          <w:tcPr>
            <w:tcW w:w="766" w:type="dxa"/>
            <w:tcBorders>
              <w:top w:val="nil"/>
              <w:left w:val="nil"/>
              <w:bottom w:val="nil"/>
              <w:right w:val="nil"/>
            </w:tcBorders>
            <w:shd w:val="clear" w:color="000000" w:fill="A3D8EB"/>
            <w:noWrap/>
            <w:vAlign w:val="bottom"/>
            <w:hideMark/>
          </w:tcPr>
          <w:p w14:paraId="066D9183" w14:textId="04CA7289" w:rsidR="00456282" w:rsidRPr="00483CE6" w:rsidRDefault="00456282" w:rsidP="00456282">
            <w:pPr>
              <w:spacing w:line="360" w:lineRule="auto"/>
              <w:rPr>
                <w:sz w:val="26"/>
                <w:szCs w:val="26"/>
              </w:rPr>
            </w:pPr>
            <w:r w:rsidRPr="00093EBB">
              <w:rPr>
                <w:rFonts w:ascii="Calibri" w:hAnsi="Calibri" w:cs="Calibri"/>
                <w:color w:val="000000"/>
                <w:sz w:val="26"/>
                <w:szCs w:val="26"/>
              </w:rPr>
              <w:t>1.0</w:t>
            </w:r>
          </w:p>
        </w:tc>
        <w:tc>
          <w:tcPr>
            <w:tcW w:w="779" w:type="dxa"/>
            <w:tcBorders>
              <w:top w:val="nil"/>
              <w:left w:val="nil"/>
              <w:bottom w:val="nil"/>
              <w:right w:val="nil"/>
            </w:tcBorders>
            <w:shd w:val="clear" w:color="000000" w:fill="A3D8EB"/>
            <w:noWrap/>
            <w:vAlign w:val="bottom"/>
            <w:hideMark/>
          </w:tcPr>
          <w:p w14:paraId="3474085C" w14:textId="2EBFD443" w:rsidR="00456282" w:rsidRPr="00483CE6" w:rsidRDefault="00456282" w:rsidP="00456282">
            <w:pPr>
              <w:spacing w:line="360" w:lineRule="auto"/>
              <w:rPr>
                <w:sz w:val="26"/>
                <w:szCs w:val="26"/>
              </w:rPr>
            </w:pPr>
            <w:r w:rsidRPr="00093EBB">
              <w:rPr>
                <w:rFonts w:ascii="Calibri" w:hAnsi="Calibri" w:cs="Calibri"/>
                <w:color w:val="000000"/>
                <w:sz w:val="26"/>
                <w:szCs w:val="26"/>
              </w:rPr>
              <w:t>1.2</w:t>
            </w:r>
          </w:p>
        </w:tc>
        <w:tc>
          <w:tcPr>
            <w:tcW w:w="779" w:type="dxa"/>
            <w:tcBorders>
              <w:top w:val="nil"/>
              <w:left w:val="nil"/>
              <w:bottom w:val="nil"/>
              <w:right w:val="nil"/>
            </w:tcBorders>
            <w:shd w:val="clear" w:color="000000" w:fill="A3D8EB"/>
            <w:noWrap/>
            <w:vAlign w:val="bottom"/>
            <w:hideMark/>
          </w:tcPr>
          <w:p w14:paraId="62718CFC" w14:textId="58527EE6" w:rsidR="00456282" w:rsidRPr="00483CE6" w:rsidRDefault="00456282" w:rsidP="00456282">
            <w:pPr>
              <w:spacing w:line="360" w:lineRule="auto"/>
              <w:rPr>
                <w:sz w:val="26"/>
                <w:szCs w:val="26"/>
              </w:rPr>
            </w:pPr>
            <w:r w:rsidRPr="00093EBB">
              <w:rPr>
                <w:rFonts w:ascii="Calibri" w:hAnsi="Calibri" w:cs="Calibri"/>
                <w:color w:val="000000"/>
                <w:sz w:val="26"/>
                <w:szCs w:val="26"/>
              </w:rPr>
              <w:t>1.2</w:t>
            </w:r>
          </w:p>
        </w:tc>
        <w:tc>
          <w:tcPr>
            <w:tcW w:w="830" w:type="dxa"/>
            <w:tcBorders>
              <w:top w:val="nil"/>
              <w:left w:val="nil"/>
              <w:bottom w:val="nil"/>
              <w:right w:val="single" w:sz="4" w:space="0" w:color="auto"/>
            </w:tcBorders>
            <w:shd w:val="clear" w:color="000000" w:fill="A3D8EB"/>
            <w:noWrap/>
            <w:vAlign w:val="bottom"/>
            <w:hideMark/>
          </w:tcPr>
          <w:p w14:paraId="393A780A" w14:textId="458473B0" w:rsidR="00456282" w:rsidRPr="00483CE6" w:rsidRDefault="00456282" w:rsidP="00456282">
            <w:pPr>
              <w:spacing w:line="360" w:lineRule="auto"/>
              <w:rPr>
                <w:sz w:val="26"/>
                <w:szCs w:val="26"/>
              </w:rPr>
            </w:pPr>
            <w:r w:rsidRPr="00093EBB">
              <w:rPr>
                <w:rFonts w:ascii="Calibri" w:hAnsi="Calibri" w:cs="Calibri"/>
                <w:color w:val="000000"/>
                <w:sz w:val="26"/>
                <w:szCs w:val="26"/>
              </w:rPr>
              <w:t>1.2</w:t>
            </w:r>
          </w:p>
        </w:tc>
      </w:tr>
      <w:tr w:rsidR="00456282" w:rsidRPr="00483CE6" w14:paraId="6D03CB54" w14:textId="77777777" w:rsidTr="00456282">
        <w:trPr>
          <w:trHeight w:val="392"/>
        </w:trPr>
        <w:tc>
          <w:tcPr>
            <w:tcW w:w="4088" w:type="dxa"/>
            <w:noWrap/>
            <w:hideMark/>
          </w:tcPr>
          <w:p w14:paraId="2F458093" w14:textId="77777777" w:rsidR="00456282" w:rsidRPr="00483CE6" w:rsidRDefault="00456282" w:rsidP="00456282">
            <w:pPr>
              <w:spacing w:line="360" w:lineRule="auto"/>
              <w:rPr>
                <w:sz w:val="26"/>
                <w:szCs w:val="26"/>
              </w:rPr>
            </w:pPr>
            <w:r w:rsidRPr="00483CE6">
              <w:rPr>
                <w:sz w:val="26"/>
                <w:szCs w:val="26"/>
              </w:rPr>
              <w:t>Trung bình lãi suất vay (%)</w:t>
            </w:r>
          </w:p>
        </w:tc>
        <w:tc>
          <w:tcPr>
            <w:tcW w:w="495" w:type="dxa"/>
            <w:noWrap/>
            <w:hideMark/>
          </w:tcPr>
          <w:p w14:paraId="18624EE3" w14:textId="77777777" w:rsidR="00456282" w:rsidRPr="00483CE6" w:rsidRDefault="00456282" w:rsidP="00456282">
            <w:pPr>
              <w:spacing w:line="360" w:lineRule="auto"/>
              <w:rPr>
                <w:b/>
                <w:bCs/>
                <w:i/>
                <w:iCs/>
                <w:sz w:val="26"/>
                <w:szCs w:val="26"/>
              </w:rPr>
            </w:pPr>
            <w:r w:rsidRPr="00483CE6">
              <w:rPr>
                <w:b/>
                <w:bCs/>
                <w:i/>
                <w:iCs/>
                <w:sz w:val="26"/>
                <w:szCs w:val="26"/>
              </w:rPr>
              <w:t>r</w:t>
            </w:r>
            <w:r w:rsidRPr="00483CE6">
              <w:rPr>
                <w:b/>
                <w:bCs/>
                <w:i/>
                <w:iCs/>
                <w:sz w:val="26"/>
                <w:szCs w:val="26"/>
                <w:vertAlign w:val="superscript"/>
              </w:rPr>
              <w:t>w</w:t>
            </w:r>
          </w:p>
        </w:tc>
        <w:tc>
          <w:tcPr>
            <w:tcW w:w="816" w:type="dxa"/>
            <w:tcBorders>
              <w:top w:val="nil"/>
              <w:left w:val="nil"/>
              <w:bottom w:val="nil"/>
              <w:right w:val="nil"/>
            </w:tcBorders>
            <w:shd w:val="clear" w:color="auto" w:fill="auto"/>
            <w:noWrap/>
            <w:vAlign w:val="bottom"/>
            <w:hideMark/>
          </w:tcPr>
          <w:p w14:paraId="0E7918E2" w14:textId="75C5A3F6" w:rsidR="00456282" w:rsidRPr="00483CE6" w:rsidRDefault="00456282" w:rsidP="00456282">
            <w:pPr>
              <w:spacing w:line="360" w:lineRule="auto"/>
              <w:rPr>
                <w:sz w:val="26"/>
                <w:szCs w:val="26"/>
              </w:rPr>
            </w:pPr>
            <w:r w:rsidRPr="00093EBB">
              <w:rPr>
                <w:rFonts w:ascii="Calibri" w:hAnsi="Calibri" w:cs="Calibri"/>
                <w:color w:val="000000"/>
                <w:sz w:val="26"/>
                <w:szCs w:val="26"/>
              </w:rPr>
              <w:t>1.2</w:t>
            </w:r>
          </w:p>
        </w:tc>
        <w:tc>
          <w:tcPr>
            <w:tcW w:w="830" w:type="dxa"/>
            <w:tcBorders>
              <w:top w:val="nil"/>
              <w:left w:val="nil"/>
              <w:bottom w:val="nil"/>
              <w:right w:val="nil"/>
            </w:tcBorders>
            <w:shd w:val="clear" w:color="000000" w:fill="A3D8EB"/>
            <w:noWrap/>
            <w:vAlign w:val="bottom"/>
            <w:hideMark/>
          </w:tcPr>
          <w:p w14:paraId="56BC5557" w14:textId="6180B78F" w:rsidR="00456282" w:rsidRPr="00483CE6" w:rsidRDefault="00456282" w:rsidP="00456282">
            <w:pPr>
              <w:spacing w:line="360" w:lineRule="auto"/>
              <w:rPr>
                <w:sz w:val="26"/>
                <w:szCs w:val="26"/>
              </w:rPr>
            </w:pPr>
            <w:r w:rsidRPr="00093EBB">
              <w:rPr>
                <w:rFonts w:ascii="Calibri" w:hAnsi="Calibri" w:cs="Calibri"/>
                <w:color w:val="000000"/>
                <w:sz w:val="26"/>
                <w:szCs w:val="26"/>
              </w:rPr>
              <w:t>3.1</w:t>
            </w:r>
          </w:p>
        </w:tc>
        <w:tc>
          <w:tcPr>
            <w:tcW w:w="766" w:type="dxa"/>
            <w:tcBorders>
              <w:top w:val="nil"/>
              <w:left w:val="nil"/>
              <w:bottom w:val="nil"/>
              <w:right w:val="nil"/>
            </w:tcBorders>
            <w:shd w:val="clear" w:color="000000" w:fill="A3D8EB"/>
            <w:noWrap/>
            <w:vAlign w:val="bottom"/>
            <w:hideMark/>
          </w:tcPr>
          <w:p w14:paraId="1222D023" w14:textId="30023B21" w:rsidR="00456282" w:rsidRPr="00483CE6" w:rsidRDefault="00456282" w:rsidP="00456282">
            <w:pPr>
              <w:spacing w:line="360" w:lineRule="auto"/>
              <w:rPr>
                <w:sz w:val="26"/>
                <w:szCs w:val="26"/>
              </w:rPr>
            </w:pPr>
            <w:r w:rsidRPr="00093EBB">
              <w:rPr>
                <w:rFonts w:ascii="Calibri" w:hAnsi="Calibri" w:cs="Calibri"/>
                <w:color w:val="000000"/>
                <w:sz w:val="26"/>
                <w:szCs w:val="26"/>
              </w:rPr>
              <w:t>1.6</w:t>
            </w:r>
          </w:p>
        </w:tc>
        <w:tc>
          <w:tcPr>
            <w:tcW w:w="779" w:type="dxa"/>
            <w:tcBorders>
              <w:top w:val="nil"/>
              <w:left w:val="nil"/>
              <w:bottom w:val="nil"/>
              <w:right w:val="nil"/>
            </w:tcBorders>
            <w:shd w:val="clear" w:color="000000" w:fill="A3D8EB"/>
            <w:noWrap/>
            <w:vAlign w:val="bottom"/>
            <w:hideMark/>
          </w:tcPr>
          <w:p w14:paraId="5C9786E9" w14:textId="6C717E19" w:rsidR="00456282" w:rsidRPr="00483CE6" w:rsidRDefault="00456282" w:rsidP="00456282">
            <w:pPr>
              <w:spacing w:line="360" w:lineRule="auto"/>
              <w:rPr>
                <w:sz w:val="26"/>
                <w:szCs w:val="26"/>
              </w:rPr>
            </w:pPr>
            <w:r w:rsidRPr="00093EBB">
              <w:rPr>
                <w:rFonts w:ascii="Calibri" w:hAnsi="Calibri" w:cs="Calibri"/>
                <w:color w:val="000000"/>
                <w:sz w:val="26"/>
                <w:szCs w:val="26"/>
              </w:rPr>
              <w:t>0.9</w:t>
            </w:r>
          </w:p>
        </w:tc>
        <w:tc>
          <w:tcPr>
            <w:tcW w:w="779" w:type="dxa"/>
            <w:tcBorders>
              <w:top w:val="nil"/>
              <w:left w:val="nil"/>
              <w:bottom w:val="nil"/>
              <w:right w:val="nil"/>
            </w:tcBorders>
            <w:shd w:val="clear" w:color="000000" w:fill="A3D8EB"/>
            <w:noWrap/>
            <w:vAlign w:val="bottom"/>
            <w:hideMark/>
          </w:tcPr>
          <w:p w14:paraId="3C1F7B53" w14:textId="59F19DFF" w:rsidR="00456282" w:rsidRPr="00483CE6" w:rsidRDefault="00456282" w:rsidP="00456282">
            <w:pPr>
              <w:spacing w:line="360" w:lineRule="auto"/>
              <w:rPr>
                <w:sz w:val="26"/>
                <w:szCs w:val="26"/>
              </w:rPr>
            </w:pPr>
            <w:r w:rsidRPr="00093EBB">
              <w:rPr>
                <w:rFonts w:ascii="Calibri" w:hAnsi="Calibri" w:cs="Calibri"/>
                <w:color w:val="000000"/>
                <w:sz w:val="26"/>
                <w:szCs w:val="26"/>
              </w:rPr>
              <w:t>0.9</w:t>
            </w:r>
          </w:p>
        </w:tc>
        <w:tc>
          <w:tcPr>
            <w:tcW w:w="830" w:type="dxa"/>
            <w:tcBorders>
              <w:top w:val="nil"/>
              <w:left w:val="nil"/>
              <w:bottom w:val="nil"/>
              <w:right w:val="single" w:sz="4" w:space="0" w:color="auto"/>
            </w:tcBorders>
            <w:shd w:val="clear" w:color="000000" w:fill="A3D8EB"/>
            <w:noWrap/>
            <w:vAlign w:val="bottom"/>
            <w:hideMark/>
          </w:tcPr>
          <w:p w14:paraId="1ECB0176" w14:textId="36CB2AE9" w:rsidR="00456282" w:rsidRPr="00483CE6" w:rsidRDefault="00456282" w:rsidP="00456282">
            <w:pPr>
              <w:spacing w:line="360" w:lineRule="auto"/>
              <w:rPr>
                <w:sz w:val="26"/>
                <w:szCs w:val="26"/>
              </w:rPr>
            </w:pPr>
            <w:r w:rsidRPr="00093EBB">
              <w:rPr>
                <w:rFonts w:ascii="Calibri" w:hAnsi="Calibri" w:cs="Calibri"/>
                <w:color w:val="000000"/>
                <w:sz w:val="26"/>
                <w:szCs w:val="26"/>
              </w:rPr>
              <w:t>0.9</w:t>
            </w:r>
          </w:p>
        </w:tc>
      </w:tr>
      <w:tr w:rsidR="00456282" w:rsidRPr="00483CE6" w14:paraId="74D6288E" w14:textId="77777777" w:rsidTr="00456282">
        <w:trPr>
          <w:trHeight w:val="372"/>
        </w:trPr>
        <w:tc>
          <w:tcPr>
            <w:tcW w:w="4088" w:type="dxa"/>
            <w:noWrap/>
            <w:hideMark/>
          </w:tcPr>
          <w:p w14:paraId="459C4FF3" w14:textId="77777777" w:rsidR="00456282" w:rsidRPr="00483CE6" w:rsidRDefault="00456282" w:rsidP="00456282">
            <w:pPr>
              <w:spacing w:line="360" w:lineRule="auto"/>
              <w:rPr>
                <w:sz w:val="26"/>
                <w:szCs w:val="26"/>
              </w:rPr>
            </w:pPr>
            <w:r w:rsidRPr="00483CE6">
              <w:rPr>
                <w:sz w:val="26"/>
                <w:szCs w:val="26"/>
              </w:rPr>
              <w:t>Bội chi ngân sách (% of GDP)</w:t>
            </w:r>
          </w:p>
        </w:tc>
        <w:tc>
          <w:tcPr>
            <w:tcW w:w="495" w:type="dxa"/>
            <w:noWrap/>
            <w:hideMark/>
          </w:tcPr>
          <w:p w14:paraId="18B3EFA0" w14:textId="77777777" w:rsidR="00456282" w:rsidRPr="00483CE6" w:rsidRDefault="00456282" w:rsidP="00456282">
            <w:pPr>
              <w:spacing w:line="360" w:lineRule="auto"/>
              <w:rPr>
                <w:b/>
                <w:bCs/>
                <w:i/>
                <w:iCs/>
                <w:sz w:val="26"/>
                <w:szCs w:val="26"/>
              </w:rPr>
            </w:pPr>
            <w:r w:rsidRPr="00483CE6">
              <w:rPr>
                <w:b/>
                <w:bCs/>
                <w:i/>
                <w:iCs/>
                <w:sz w:val="26"/>
                <w:szCs w:val="26"/>
              </w:rPr>
              <w:t>pb</w:t>
            </w:r>
          </w:p>
        </w:tc>
        <w:tc>
          <w:tcPr>
            <w:tcW w:w="816" w:type="dxa"/>
            <w:tcBorders>
              <w:top w:val="nil"/>
              <w:left w:val="nil"/>
              <w:bottom w:val="nil"/>
              <w:right w:val="nil"/>
            </w:tcBorders>
            <w:shd w:val="clear" w:color="auto" w:fill="auto"/>
            <w:noWrap/>
            <w:vAlign w:val="bottom"/>
            <w:hideMark/>
          </w:tcPr>
          <w:p w14:paraId="49FC9881" w14:textId="6C31738D" w:rsidR="00456282" w:rsidRPr="00483CE6" w:rsidRDefault="00456282" w:rsidP="00456282">
            <w:pPr>
              <w:spacing w:line="360" w:lineRule="auto"/>
              <w:rPr>
                <w:b/>
                <w:bCs/>
                <w:sz w:val="26"/>
                <w:szCs w:val="26"/>
              </w:rPr>
            </w:pPr>
            <w:r w:rsidRPr="00093EBB">
              <w:rPr>
                <w:rFonts w:ascii="Calibri" w:hAnsi="Calibri" w:cs="Calibri"/>
                <w:b/>
                <w:bCs/>
                <w:color w:val="FF0000"/>
                <w:sz w:val="26"/>
                <w:szCs w:val="26"/>
              </w:rPr>
              <w:t>-4.0</w:t>
            </w:r>
          </w:p>
        </w:tc>
        <w:tc>
          <w:tcPr>
            <w:tcW w:w="830" w:type="dxa"/>
            <w:tcBorders>
              <w:top w:val="nil"/>
              <w:left w:val="nil"/>
              <w:bottom w:val="nil"/>
              <w:right w:val="nil"/>
            </w:tcBorders>
            <w:shd w:val="clear" w:color="000000" w:fill="EDEDED"/>
            <w:noWrap/>
            <w:vAlign w:val="bottom"/>
            <w:hideMark/>
          </w:tcPr>
          <w:p w14:paraId="7A735C5C" w14:textId="49430DFF" w:rsidR="00456282" w:rsidRPr="00483CE6" w:rsidRDefault="00456282" w:rsidP="00456282">
            <w:pPr>
              <w:spacing w:line="360" w:lineRule="auto"/>
              <w:rPr>
                <w:sz w:val="26"/>
                <w:szCs w:val="26"/>
              </w:rPr>
            </w:pPr>
            <w:r w:rsidRPr="00093EBB">
              <w:rPr>
                <w:rFonts w:ascii="Calibri" w:hAnsi="Calibri" w:cs="Calibri"/>
                <w:sz w:val="26"/>
                <w:szCs w:val="26"/>
              </w:rPr>
              <w:t>-5.0</w:t>
            </w:r>
          </w:p>
        </w:tc>
        <w:tc>
          <w:tcPr>
            <w:tcW w:w="766" w:type="dxa"/>
            <w:tcBorders>
              <w:top w:val="nil"/>
              <w:left w:val="nil"/>
              <w:bottom w:val="nil"/>
              <w:right w:val="nil"/>
            </w:tcBorders>
            <w:shd w:val="clear" w:color="000000" w:fill="EDEDED"/>
            <w:noWrap/>
            <w:vAlign w:val="bottom"/>
            <w:hideMark/>
          </w:tcPr>
          <w:p w14:paraId="36AB2AE9" w14:textId="4B4433BE" w:rsidR="00456282" w:rsidRPr="00483CE6" w:rsidRDefault="00456282" w:rsidP="00456282">
            <w:pPr>
              <w:spacing w:line="360" w:lineRule="auto"/>
              <w:rPr>
                <w:sz w:val="26"/>
                <w:szCs w:val="26"/>
              </w:rPr>
            </w:pPr>
            <w:r w:rsidRPr="00093EBB">
              <w:rPr>
                <w:rFonts w:ascii="Calibri" w:hAnsi="Calibri" w:cs="Calibri"/>
                <w:sz w:val="26"/>
                <w:szCs w:val="26"/>
              </w:rPr>
              <w:t>-4.5</w:t>
            </w:r>
          </w:p>
        </w:tc>
        <w:tc>
          <w:tcPr>
            <w:tcW w:w="779" w:type="dxa"/>
            <w:tcBorders>
              <w:top w:val="nil"/>
              <w:left w:val="nil"/>
              <w:bottom w:val="nil"/>
              <w:right w:val="nil"/>
            </w:tcBorders>
            <w:shd w:val="clear" w:color="000000" w:fill="EDEDED"/>
            <w:noWrap/>
            <w:vAlign w:val="bottom"/>
            <w:hideMark/>
          </w:tcPr>
          <w:p w14:paraId="5F99FF4A" w14:textId="1881BCA0" w:rsidR="00456282" w:rsidRPr="00483CE6" w:rsidRDefault="00456282" w:rsidP="00456282">
            <w:pPr>
              <w:spacing w:line="360" w:lineRule="auto"/>
              <w:rPr>
                <w:sz w:val="26"/>
                <w:szCs w:val="26"/>
              </w:rPr>
            </w:pPr>
            <w:r w:rsidRPr="00093EBB">
              <w:rPr>
                <w:rFonts w:ascii="Calibri" w:hAnsi="Calibri" w:cs="Calibri"/>
                <w:sz w:val="26"/>
                <w:szCs w:val="26"/>
              </w:rPr>
              <w:t>-3.0</w:t>
            </w:r>
          </w:p>
        </w:tc>
        <w:tc>
          <w:tcPr>
            <w:tcW w:w="779" w:type="dxa"/>
            <w:tcBorders>
              <w:top w:val="nil"/>
              <w:left w:val="nil"/>
              <w:bottom w:val="nil"/>
              <w:right w:val="nil"/>
            </w:tcBorders>
            <w:shd w:val="clear" w:color="000000" w:fill="EDEDED"/>
            <w:noWrap/>
            <w:vAlign w:val="bottom"/>
            <w:hideMark/>
          </w:tcPr>
          <w:p w14:paraId="31E3A123" w14:textId="3684CFD0" w:rsidR="00456282" w:rsidRPr="00483CE6" w:rsidRDefault="00456282" w:rsidP="00456282">
            <w:pPr>
              <w:spacing w:line="360" w:lineRule="auto"/>
              <w:rPr>
                <w:sz w:val="26"/>
                <w:szCs w:val="26"/>
              </w:rPr>
            </w:pPr>
            <w:r w:rsidRPr="00093EBB">
              <w:rPr>
                <w:rFonts w:ascii="Calibri" w:hAnsi="Calibri" w:cs="Calibri"/>
                <w:sz w:val="26"/>
                <w:szCs w:val="26"/>
              </w:rPr>
              <w:t>-3.0</w:t>
            </w:r>
          </w:p>
        </w:tc>
        <w:tc>
          <w:tcPr>
            <w:tcW w:w="830" w:type="dxa"/>
            <w:tcBorders>
              <w:top w:val="nil"/>
              <w:left w:val="nil"/>
              <w:bottom w:val="nil"/>
              <w:right w:val="single" w:sz="4" w:space="0" w:color="auto"/>
            </w:tcBorders>
            <w:shd w:val="clear" w:color="000000" w:fill="EDEDED"/>
            <w:noWrap/>
            <w:vAlign w:val="bottom"/>
            <w:hideMark/>
          </w:tcPr>
          <w:p w14:paraId="04A97ABC" w14:textId="4BAD1EB9" w:rsidR="00456282" w:rsidRPr="00483CE6" w:rsidRDefault="00456282" w:rsidP="00456282">
            <w:pPr>
              <w:spacing w:line="360" w:lineRule="auto"/>
              <w:rPr>
                <w:sz w:val="26"/>
                <w:szCs w:val="26"/>
              </w:rPr>
            </w:pPr>
            <w:r w:rsidRPr="00093EBB">
              <w:rPr>
                <w:rFonts w:ascii="Calibri" w:hAnsi="Calibri" w:cs="Calibri"/>
                <w:sz w:val="26"/>
                <w:szCs w:val="26"/>
              </w:rPr>
              <w:t>-3.0</w:t>
            </w:r>
          </w:p>
        </w:tc>
      </w:tr>
      <w:tr w:rsidR="00456282" w:rsidRPr="00483CE6" w14:paraId="06B8A0CF" w14:textId="77777777" w:rsidTr="00456282">
        <w:trPr>
          <w:trHeight w:val="372"/>
        </w:trPr>
        <w:tc>
          <w:tcPr>
            <w:tcW w:w="4088" w:type="dxa"/>
            <w:noWrap/>
            <w:hideMark/>
          </w:tcPr>
          <w:p w14:paraId="56DEBA82" w14:textId="77777777" w:rsidR="00456282" w:rsidRPr="00483CE6" w:rsidRDefault="00456282" w:rsidP="00456282">
            <w:pPr>
              <w:spacing w:line="360" w:lineRule="auto"/>
              <w:rPr>
                <w:b/>
                <w:bCs/>
                <w:sz w:val="26"/>
                <w:szCs w:val="26"/>
              </w:rPr>
            </w:pPr>
            <w:r w:rsidRPr="00483CE6">
              <w:rPr>
                <w:b/>
                <w:bCs/>
                <w:sz w:val="26"/>
                <w:szCs w:val="26"/>
              </w:rPr>
              <w:t>Nợ công (% of GDP)</w:t>
            </w:r>
          </w:p>
        </w:tc>
        <w:tc>
          <w:tcPr>
            <w:tcW w:w="495" w:type="dxa"/>
            <w:noWrap/>
            <w:hideMark/>
          </w:tcPr>
          <w:p w14:paraId="39A5EEDC" w14:textId="77777777" w:rsidR="00456282" w:rsidRPr="00483CE6" w:rsidRDefault="00456282" w:rsidP="00456282">
            <w:pPr>
              <w:spacing w:line="360" w:lineRule="auto"/>
              <w:rPr>
                <w:b/>
                <w:bCs/>
                <w:i/>
                <w:iCs/>
                <w:sz w:val="26"/>
                <w:szCs w:val="26"/>
              </w:rPr>
            </w:pPr>
            <w:r w:rsidRPr="00483CE6">
              <w:rPr>
                <w:b/>
                <w:bCs/>
                <w:i/>
                <w:iCs/>
                <w:sz w:val="26"/>
                <w:szCs w:val="26"/>
              </w:rPr>
              <w:t>pd</w:t>
            </w:r>
          </w:p>
        </w:tc>
        <w:tc>
          <w:tcPr>
            <w:tcW w:w="816" w:type="dxa"/>
            <w:tcBorders>
              <w:top w:val="nil"/>
              <w:left w:val="nil"/>
              <w:bottom w:val="single" w:sz="4" w:space="0" w:color="auto"/>
              <w:right w:val="nil"/>
            </w:tcBorders>
            <w:shd w:val="clear" w:color="auto" w:fill="auto"/>
            <w:noWrap/>
            <w:vAlign w:val="bottom"/>
            <w:hideMark/>
          </w:tcPr>
          <w:p w14:paraId="2DC93B66" w14:textId="1C1DA29C" w:rsidR="00456282" w:rsidRPr="00483CE6" w:rsidRDefault="00456282" w:rsidP="00456282">
            <w:pPr>
              <w:spacing w:line="360" w:lineRule="auto"/>
              <w:rPr>
                <w:b/>
                <w:bCs/>
                <w:sz w:val="26"/>
                <w:szCs w:val="26"/>
              </w:rPr>
            </w:pPr>
            <w:r w:rsidRPr="00093EBB">
              <w:rPr>
                <w:rFonts w:ascii="Calibri" w:hAnsi="Calibri" w:cs="Calibri"/>
                <w:b/>
                <w:bCs/>
                <w:color w:val="000000"/>
                <w:sz w:val="26"/>
                <w:szCs w:val="26"/>
              </w:rPr>
              <w:t>43.5</w:t>
            </w:r>
          </w:p>
        </w:tc>
        <w:tc>
          <w:tcPr>
            <w:tcW w:w="830" w:type="dxa"/>
            <w:tcBorders>
              <w:top w:val="nil"/>
              <w:left w:val="nil"/>
              <w:bottom w:val="single" w:sz="4" w:space="0" w:color="auto"/>
              <w:right w:val="nil"/>
            </w:tcBorders>
            <w:shd w:val="clear" w:color="000000" w:fill="A3D8EB"/>
            <w:noWrap/>
            <w:vAlign w:val="bottom"/>
            <w:hideMark/>
          </w:tcPr>
          <w:p w14:paraId="1BF88ADA" w14:textId="2600C296" w:rsidR="00456282" w:rsidRPr="00483CE6" w:rsidRDefault="00456282" w:rsidP="00456282">
            <w:pPr>
              <w:spacing w:line="360" w:lineRule="auto"/>
              <w:rPr>
                <w:sz w:val="26"/>
                <w:szCs w:val="26"/>
              </w:rPr>
            </w:pPr>
            <w:r w:rsidRPr="00093EBB">
              <w:rPr>
                <w:rFonts w:ascii="Calibri" w:hAnsi="Calibri" w:cs="Calibri"/>
                <w:color w:val="000000"/>
                <w:sz w:val="26"/>
                <w:szCs w:val="26"/>
              </w:rPr>
              <w:t>46.5</w:t>
            </w:r>
          </w:p>
        </w:tc>
        <w:tc>
          <w:tcPr>
            <w:tcW w:w="766" w:type="dxa"/>
            <w:tcBorders>
              <w:top w:val="nil"/>
              <w:left w:val="nil"/>
              <w:bottom w:val="single" w:sz="4" w:space="0" w:color="auto"/>
              <w:right w:val="nil"/>
            </w:tcBorders>
            <w:shd w:val="clear" w:color="000000" w:fill="A3D8EB"/>
            <w:noWrap/>
            <w:vAlign w:val="bottom"/>
            <w:hideMark/>
          </w:tcPr>
          <w:p w14:paraId="28F39C06" w14:textId="5914063B" w:rsidR="00456282" w:rsidRPr="00483CE6" w:rsidRDefault="00456282" w:rsidP="00456282">
            <w:pPr>
              <w:spacing w:line="360" w:lineRule="auto"/>
              <w:rPr>
                <w:sz w:val="26"/>
                <w:szCs w:val="26"/>
              </w:rPr>
            </w:pPr>
            <w:r w:rsidRPr="00093EBB">
              <w:rPr>
                <w:rFonts w:ascii="Calibri" w:hAnsi="Calibri" w:cs="Calibri"/>
                <w:color w:val="000000"/>
                <w:sz w:val="26"/>
                <w:szCs w:val="26"/>
              </w:rPr>
              <w:t>49.1</w:t>
            </w:r>
          </w:p>
        </w:tc>
        <w:tc>
          <w:tcPr>
            <w:tcW w:w="779" w:type="dxa"/>
            <w:tcBorders>
              <w:top w:val="nil"/>
              <w:left w:val="nil"/>
              <w:bottom w:val="single" w:sz="4" w:space="0" w:color="auto"/>
              <w:right w:val="nil"/>
            </w:tcBorders>
            <w:shd w:val="clear" w:color="000000" w:fill="A3D8EB"/>
            <w:noWrap/>
            <w:vAlign w:val="bottom"/>
            <w:hideMark/>
          </w:tcPr>
          <w:p w14:paraId="24B548F4" w14:textId="5F9B989F" w:rsidR="00456282" w:rsidRPr="00483CE6" w:rsidRDefault="00456282" w:rsidP="00456282">
            <w:pPr>
              <w:spacing w:line="360" w:lineRule="auto"/>
              <w:rPr>
                <w:sz w:val="26"/>
                <w:szCs w:val="26"/>
              </w:rPr>
            </w:pPr>
            <w:r w:rsidRPr="00093EBB">
              <w:rPr>
                <w:rFonts w:ascii="Calibri" w:hAnsi="Calibri" w:cs="Calibri"/>
                <w:color w:val="000000"/>
                <w:sz w:val="26"/>
                <w:szCs w:val="26"/>
              </w:rPr>
              <w:t>49.5</w:t>
            </w:r>
          </w:p>
        </w:tc>
        <w:tc>
          <w:tcPr>
            <w:tcW w:w="779" w:type="dxa"/>
            <w:tcBorders>
              <w:top w:val="nil"/>
              <w:left w:val="nil"/>
              <w:bottom w:val="single" w:sz="4" w:space="0" w:color="auto"/>
              <w:right w:val="nil"/>
            </w:tcBorders>
            <w:shd w:val="clear" w:color="000000" w:fill="A3D8EB"/>
            <w:noWrap/>
            <w:vAlign w:val="bottom"/>
            <w:hideMark/>
          </w:tcPr>
          <w:p w14:paraId="59BC8A03" w14:textId="4649DFC8" w:rsidR="00456282" w:rsidRPr="00483CE6" w:rsidRDefault="00456282" w:rsidP="00456282">
            <w:pPr>
              <w:spacing w:line="360" w:lineRule="auto"/>
              <w:rPr>
                <w:sz w:val="26"/>
                <w:szCs w:val="26"/>
              </w:rPr>
            </w:pPr>
            <w:r w:rsidRPr="00093EBB">
              <w:rPr>
                <w:rFonts w:ascii="Calibri" w:hAnsi="Calibri" w:cs="Calibri"/>
                <w:color w:val="000000"/>
                <w:sz w:val="26"/>
                <w:szCs w:val="26"/>
              </w:rPr>
              <w:t>49.9</w:t>
            </w:r>
          </w:p>
        </w:tc>
        <w:tc>
          <w:tcPr>
            <w:tcW w:w="830" w:type="dxa"/>
            <w:tcBorders>
              <w:top w:val="nil"/>
              <w:left w:val="nil"/>
              <w:bottom w:val="single" w:sz="4" w:space="0" w:color="auto"/>
              <w:right w:val="single" w:sz="4" w:space="0" w:color="auto"/>
            </w:tcBorders>
            <w:shd w:val="clear" w:color="000000" w:fill="A3D8EB"/>
            <w:noWrap/>
            <w:vAlign w:val="bottom"/>
            <w:hideMark/>
          </w:tcPr>
          <w:p w14:paraId="310778F8" w14:textId="720C9D52" w:rsidR="00456282" w:rsidRPr="00483CE6" w:rsidRDefault="00456282" w:rsidP="00456282">
            <w:pPr>
              <w:spacing w:line="360" w:lineRule="auto"/>
              <w:rPr>
                <w:sz w:val="26"/>
                <w:szCs w:val="26"/>
              </w:rPr>
            </w:pPr>
            <w:r w:rsidRPr="00093EBB">
              <w:rPr>
                <w:rFonts w:ascii="Calibri" w:hAnsi="Calibri" w:cs="Calibri"/>
                <w:color w:val="000000"/>
                <w:sz w:val="26"/>
                <w:szCs w:val="26"/>
              </w:rPr>
              <w:t>50.3</w:t>
            </w:r>
          </w:p>
        </w:tc>
      </w:tr>
    </w:tbl>
    <w:p w14:paraId="73FDC916" w14:textId="77777777" w:rsidR="00483CE6" w:rsidRPr="00483CE6" w:rsidRDefault="00483CE6" w:rsidP="00483CE6">
      <w:pPr>
        <w:spacing w:line="360" w:lineRule="auto"/>
        <w:jc w:val="both"/>
        <w:rPr>
          <w:sz w:val="26"/>
          <w:szCs w:val="26"/>
          <w:lang w:val="sv-SE"/>
        </w:rPr>
      </w:pPr>
      <w:r w:rsidRPr="00483CE6">
        <w:rPr>
          <w:sz w:val="26"/>
          <w:szCs w:val="26"/>
          <w:lang w:val="sv-SE"/>
        </w:rPr>
        <w:t>(Nguồn: tính toán của tác giả, các giá trị r, r</w:t>
      </w:r>
      <w:r w:rsidRPr="00483CE6">
        <w:rPr>
          <w:sz w:val="26"/>
          <w:szCs w:val="26"/>
          <w:vertAlign w:val="superscript"/>
          <w:lang w:val="sv-SE"/>
        </w:rPr>
        <w:t>f</w:t>
      </w:r>
      <w:r w:rsidRPr="00483CE6">
        <w:rPr>
          <w:sz w:val="26"/>
          <w:szCs w:val="26"/>
          <w:lang w:val="sv-SE"/>
        </w:rPr>
        <w:t>, r</w:t>
      </w:r>
      <w:r w:rsidRPr="00483CE6">
        <w:rPr>
          <w:sz w:val="26"/>
          <w:szCs w:val="26"/>
          <w:vertAlign w:val="superscript"/>
          <w:lang w:val="sv-SE"/>
        </w:rPr>
        <w:t>w</w:t>
      </w:r>
      <w:r w:rsidRPr="00483CE6">
        <w:rPr>
          <w:sz w:val="26"/>
          <w:szCs w:val="26"/>
          <w:lang w:val="sv-SE"/>
        </w:rPr>
        <w:t>, nợ công là số liệu tính toán trên cơ sở các giả định về tăng trưởng, bội chi, lạm phát, lãi suất danh nghĩa, GDP tính theo số GDP mới 2021).</w:t>
      </w:r>
    </w:p>
    <w:p w14:paraId="6A18516B" w14:textId="74B48E67" w:rsidR="00483CE6" w:rsidRPr="00483CE6" w:rsidRDefault="00483CE6" w:rsidP="00483CE6">
      <w:pPr>
        <w:spacing w:after="160" w:line="360" w:lineRule="auto"/>
        <w:ind w:firstLine="720"/>
        <w:jc w:val="both"/>
        <w:rPr>
          <w:rFonts w:eastAsia="Times New Roman"/>
          <w:sz w:val="26"/>
          <w:szCs w:val="26"/>
          <w:lang w:val="sv-SE" w:eastAsia="en-US"/>
        </w:rPr>
      </w:pPr>
      <w:r w:rsidRPr="00483CE6">
        <w:rPr>
          <w:rFonts w:eastAsia="Times New Roman"/>
          <w:sz w:val="26"/>
          <w:szCs w:val="26"/>
          <w:lang w:val="sv-SE" w:eastAsia="en-US"/>
        </w:rPr>
        <w:t>Kết quả mô phỏng ảnh hưởng của các yếu tố vĩ mô đến nợ công cho thấy, nếu tăng trưởng kinh tế tiếp tục được duy trì ở mức 6.5 % GDP</w:t>
      </w:r>
      <w:r w:rsidR="00456282" w:rsidRPr="00093EBB">
        <w:rPr>
          <w:rFonts w:eastAsia="Times New Roman"/>
          <w:sz w:val="26"/>
          <w:szCs w:val="26"/>
          <w:lang w:val="sv-SE" w:eastAsia="en-US"/>
        </w:rPr>
        <w:t xml:space="preserve"> (năm 2023 chỉ là 6 %)</w:t>
      </w:r>
      <w:r w:rsidRPr="00483CE6">
        <w:rPr>
          <w:rFonts w:eastAsia="Times New Roman"/>
          <w:sz w:val="26"/>
          <w:szCs w:val="26"/>
          <w:lang w:val="sv-SE" w:eastAsia="en-US"/>
        </w:rPr>
        <w:t xml:space="preserve">, lạm phát dưới 4,5 % và đồng Việt nam chỉ mất giá khoảng </w:t>
      </w:r>
      <w:r w:rsidR="00456282" w:rsidRPr="00093EBB">
        <w:rPr>
          <w:rFonts w:eastAsia="Times New Roman"/>
          <w:sz w:val="26"/>
          <w:szCs w:val="26"/>
          <w:lang w:val="sv-SE" w:eastAsia="en-US"/>
        </w:rPr>
        <w:t>2</w:t>
      </w:r>
      <w:r w:rsidRPr="00483CE6">
        <w:rPr>
          <w:rFonts w:eastAsia="Times New Roman"/>
          <w:sz w:val="26"/>
          <w:szCs w:val="26"/>
          <w:lang w:val="sv-SE" w:eastAsia="en-US"/>
        </w:rPr>
        <w:t xml:space="preserve"> % mỗi năm kể từ 202</w:t>
      </w:r>
      <w:r w:rsidR="00456282" w:rsidRPr="00093EBB">
        <w:rPr>
          <w:rFonts w:eastAsia="Times New Roman"/>
          <w:sz w:val="26"/>
          <w:szCs w:val="26"/>
          <w:lang w:val="sv-SE" w:eastAsia="en-US"/>
        </w:rPr>
        <w:t>3</w:t>
      </w:r>
      <w:r w:rsidRPr="00483CE6">
        <w:rPr>
          <w:rFonts w:eastAsia="Times New Roman"/>
          <w:sz w:val="26"/>
          <w:szCs w:val="26"/>
          <w:lang w:val="sv-SE" w:eastAsia="en-US"/>
        </w:rPr>
        <w:t>-2026, đồng thời lãi suất danh nghĩa vay bên ngoài tăng lên so với 2021 thì nợ công của Việt nam vẫn chỉ vào khoảng hơn 50 % GDP (thấp hơn ngưỡng quốc hội cho phép).</w:t>
      </w:r>
    </w:p>
    <w:p w14:paraId="41F85C99" w14:textId="77777777" w:rsidR="00483CE6" w:rsidRPr="00483CE6" w:rsidRDefault="00483CE6" w:rsidP="00483CE6">
      <w:pPr>
        <w:spacing w:after="160" w:line="360" w:lineRule="auto"/>
        <w:ind w:firstLine="720"/>
        <w:jc w:val="both"/>
        <w:rPr>
          <w:rFonts w:eastAsia="Times New Roman"/>
          <w:sz w:val="26"/>
          <w:szCs w:val="26"/>
          <w:lang w:val="sv-SE" w:eastAsia="en-US"/>
        </w:rPr>
      </w:pPr>
      <w:r w:rsidRPr="00483CE6">
        <w:rPr>
          <w:rFonts w:eastAsia="Times New Roman"/>
          <w:sz w:val="26"/>
          <w:szCs w:val="26"/>
          <w:lang w:val="sv-SE" w:eastAsia="en-US"/>
        </w:rPr>
        <w:t xml:space="preserve">Yếu tố ảnh hưởng mạnh nhất đến tăng tỷ lệ nợ công vẫn là tỷ lệ bội chi NSNN. Do vậy, về dài hạn để đảm bảo bền vững ngân sách và giảm tỷ lệ nợ công thì bắt buộc phải giảm tỷ lệ thâm hụt NSNN. </w:t>
      </w:r>
    </w:p>
    <w:p w14:paraId="7005348B" w14:textId="316C4889" w:rsidR="00483CE6" w:rsidRPr="00093EBB" w:rsidRDefault="00483CE6" w:rsidP="00483CE6">
      <w:pPr>
        <w:spacing w:after="160" w:line="360" w:lineRule="auto"/>
        <w:ind w:firstLine="720"/>
        <w:jc w:val="both"/>
        <w:rPr>
          <w:rFonts w:eastAsia="Times New Roman"/>
          <w:sz w:val="26"/>
          <w:szCs w:val="26"/>
          <w:lang w:val="sv-SE" w:eastAsia="en-US"/>
        </w:rPr>
      </w:pPr>
      <w:r w:rsidRPr="00483CE6">
        <w:rPr>
          <w:rFonts w:eastAsia="Times New Roman"/>
          <w:sz w:val="26"/>
          <w:szCs w:val="26"/>
          <w:lang w:val="sv-SE" w:eastAsia="en-US"/>
        </w:rPr>
        <w:t>Hơn nữa, kịch bản cũng cho thấy nếu tăng trưởng kinh tế thấp hơn đồng thời với việc đồng Việt nam mất giá mạnh sẽ gây áp lực lớn với tăng tỷ lệ nợ công.</w:t>
      </w:r>
      <w:r w:rsidR="00456282" w:rsidRPr="00093EBB">
        <w:rPr>
          <w:rFonts w:eastAsia="Times New Roman"/>
          <w:sz w:val="26"/>
          <w:szCs w:val="26"/>
          <w:lang w:val="sv-SE" w:eastAsia="en-US"/>
        </w:rPr>
        <w:t xml:space="preserve"> Kịch bản cho thấy, Việt nam có thể tận dụng cơ hội lãi suất thấp ở nửa cuối năm 2023 và có thể đầu 2024 cho việc huy động TPCP (chủ động với CSTK nới lỏng với điều kiện giải ngân chi đầu tư tốt hơn). </w:t>
      </w:r>
    </w:p>
    <w:p w14:paraId="46088B71" w14:textId="77777777" w:rsidR="00093EBB" w:rsidRPr="00093EBB" w:rsidRDefault="00093EBB" w:rsidP="00093EBB">
      <w:pPr>
        <w:spacing w:before="100" w:beforeAutospacing="1" w:after="100" w:afterAutospacing="1" w:line="312" w:lineRule="auto"/>
        <w:ind w:firstLine="720"/>
        <w:jc w:val="both"/>
        <w:rPr>
          <w:sz w:val="26"/>
          <w:szCs w:val="26"/>
          <w:lang w:val="de-DE"/>
        </w:rPr>
      </w:pPr>
      <w:r w:rsidRPr="00093EBB">
        <w:rPr>
          <w:sz w:val="26"/>
          <w:szCs w:val="26"/>
          <w:lang w:val="de-DE"/>
        </w:rPr>
        <w:lastRenderedPageBreak/>
        <w:t>Tính toán của chúng tôi cho thấy, Việt nam được đánh giá có năng lực quản trị nợ ở mức trung bình khá và các chỉ tiêu về an toàn nợ công của Việt nam được đánh giá khá tốt nên Việt nam còn dư địa tài khóa cho việc thực hiện các chính sách hỗ trợ trong giai đoạn 2022-2025</w:t>
      </w:r>
      <w:r w:rsidRPr="00093EBB">
        <w:rPr>
          <w:rStyle w:val="FootnoteReference"/>
          <w:sz w:val="26"/>
          <w:szCs w:val="26"/>
          <w:lang w:val="de-DE"/>
        </w:rPr>
        <w:footnoteReference w:id="4"/>
      </w:r>
      <w:r w:rsidRPr="00093EBB">
        <w:rPr>
          <w:sz w:val="26"/>
          <w:szCs w:val="26"/>
          <w:lang w:val="de-DE"/>
        </w:rPr>
        <w:t xml:space="preserve">. </w:t>
      </w:r>
    </w:p>
    <w:p w14:paraId="61FBE4A9" w14:textId="3A772183" w:rsidR="00627936" w:rsidRPr="00093EBB" w:rsidRDefault="009437C7" w:rsidP="000B3766">
      <w:pPr>
        <w:spacing w:before="100" w:beforeAutospacing="1" w:after="100" w:afterAutospacing="1" w:line="312" w:lineRule="auto"/>
        <w:jc w:val="both"/>
        <w:rPr>
          <w:b/>
          <w:sz w:val="26"/>
          <w:szCs w:val="26"/>
          <w:lang w:val="sv-SE"/>
        </w:rPr>
      </w:pPr>
      <w:r w:rsidRPr="00093EBB">
        <w:rPr>
          <w:b/>
          <w:sz w:val="26"/>
          <w:szCs w:val="26"/>
          <w:lang w:val="sv-SE"/>
        </w:rPr>
        <w:t>K</w:t>
      </w:r>
      <w:r w:rsidR="00370D48" w:rsidRPr="00093EBB">
        <w:rPr>
          <w:b/>
          <w:sz w:val="26"/>
          <w:szCs w:val="26"/>
          <w:lang w:val="sv-SE"/>
        </w:rPr>
        <w:t xml:space="preserve">ết luận </w:t>
      </w:r>
    </w:p>
    <w:p w14:paraId="17800728" w14:textId="58B85224" w:rsidR="00B6771A" w:rsidRPr="00093EBB" w:rsidRDefault="00370D48" w:rsidP="000B3766">
      <w:pPr>
        <w:spacing w:before="100" w:beforeAutospacing="1" w:after="100" w:afterAutospacing="1" w:line="312" w:lineRule="auto"/>
        <w:ind w:firstLine="720"/>
        <w:contextualSpacing/>
        <w:jc w:val="both"/>
        <w:rPr>
          <w:sz w:val="26"/>
          <w:szCs w:val="26"/>
          <w:lang w:val="sv-SE"/>
        </w:rPr>
      </w:pPr>
      <w:r w:rsidRPr="00093EBB">
        <w:rPr>
          <w:sz w:val="26"/>
          <w:szCs w:val="26"/>
          <w:lang w:val="sv-SE"/>
        </w:rPr>
        <w:t xml:space="preserve"> </w:t>
      </w:r>
      <w:r w:rsidR="00EF28EC" w:rsidRPr="00093EBB">
        <w:rPr>
          <w:sz w:val="26"/>
          <w:szCs w:val="26"/>
          <w:lang w:val="sv-SE"/>
        </w:rPr>
        <w:t>Thực hiện tốt chính sách tài khóa năm 20</w:t>
      </w:r>
      <w:r w:rsidR="005148B2" w:rsidRPr="00093EBB">
        <w:rPr>
          <w:sz w:val="26"/>
          <w:szCs w:val="26"/>
          <w:lang w:val="sv-SE"/>
        </w:rPr>
        <w:t>2</w:t>
      </w:r>
      <w:r w:rsidR="00456282" w:rsidRPr="00093EBB">
        <w:rPr>
          <w:sz w:val="26"/>
          <w:szCs w:val="26"/>
          <w:lang w:val="sv-SE"/>
        </w:rPr>
        <w:t>3</w:t>
      </w:r>
      <w:r w:rsidR="00EF28EC" w:rsidRPr="00093EBB">
        <w:rPr>
          <w:sz w:val="26"/>
          <w:szCs w:val="26"/>
          <w:lang w:val="sv-SE"/>
        </w:rPr>
        <w:t xml:space="preserve"> trong </w:t>
      </w:r>
      <w:r w:rsidRPr="00093EBB">
        <w:rPr>
          <w:sz w:val="26"/>
          <w:szCs w:val="26"/>
          <w:lang w:val="sv-SE"/>
        </w:rPr>
        <w:t>bối cảnh</w:t>
      </w:r>
      <w:r w:rsidR="00BE2F9D" w:rsidRPr="00093EBB">
        <w:rPr>
          <w:sz w:val="26"/>
          <w:szCs w:val="26"/>
          <w:lang w:val="sv-SE"/>
        </w:rPr>
        <w:t xml:space="preserve"> </w:t>
      </w:r>
      <w:r w:rsidR="00456282" w:rsidRPr="00093EBB">
        <w:rPr>
          <w:sz w:val="26"/>
          <w:szCs w:val="26"/>
          <w:lang w:val="sv-SE"/>
        </w:rPr>
        <w:t>thế giới phức tạp</w:t>
      </w:r>
      <w:r w:rsidR="00B6771A" w:rsidRPr="00093EBB">
        <w:rPr>
          <w:sz w:val="26"/>
          <w:szCs w:val="26"/>
          <w:lang w:val="sv-SE"/>
        </w:rPr>
        <w:t xml:space="preserve"> </w:t>
      </w:r>
      <w:r w:rsidR="005148B2" w:rsidRPr="00093EBB">
        <w:rPr>
          <w:sz w:val="26"/>
          <w:szCs w:val="26"/>
          <w:lang w:val="sv-SE"/>
        </w:rPr>
        <w:t>và nền kinh tế chưa thực sự có những đột phá về mô hình tăng trưởng</w:t>
      </w:r>
      <w:r w:rsidR="00BE2F9D" w:rsidRPr="00093EBB">
        <w:rPr>
          <w:sz w:val="26"/>
          <w:szCs w:val="26"/>
          <w:lang w:val="sv-SE"/>
        </w:rPr>
        <w:t xml:space="preserve"> </w:t>
      </w:r>
      <w:r w:rsidR="002C63B8" w:rsidRPr="00093EBB">
        <w:rPr>
          <w:sz w:val="26"/>
          <w:szCs w:val="26"/>
          <w:lang w:val="sv-SE"/>
        </w:rPr>
        <w:t>là</w:t>
      </w:r>
      <w:r w:rsidR="00EF28EC" w:rsidRPr="00093EBB">
        <w:rPr>
          <w:sz w:val="26"/>
          <w:szCs w:val="26"/>
          <w:lang w:val="sv-SE"/>
        </w:rPr>
        <w:t xml:space="preserve"> nhiệm vụ rất khó</w:t>
      </w:r>
      <w:r w:rsidR="00CB110E" w:rsidRPr="00093EBB">
        <w:rPr>
          <w:sz w:val="26"/>
          <w:szCs w:val="26"/>
          <w:lang w:val="sv-SE"/>
        </w:rPr>
        <w:t xml:space="preserve"> khăn</w:t>
      </w:r>
      <w:r w:rsidR="002C63B8" w:rsidRPr="00093EBB">
        <w:rPr>
          <w:sz w:val="26"/>
          <w:szCs w:val="26"/>
          <w:lang w:val="sv-SE"/>
        </w:rPr>
        <w:t xml:space="preserve"> song về cơ bản Chính phủ đã vượt qua thách thức và đạt được những thành công nhất định</w:t>
      </w:r>
      <w:r w:rsidR="00B6771A" w:rsidRPr="00093EBB">
        <w:rPr>
          <w:sz w:val="26"/>
          <w:szCs w:val="26"/>
          <w:lang w:val="sv-SE"/>
        </w:rPr>
        <w:t xml:space="preserve">. </w:t>
      </w:r>
    </w:p>
    <w:p w14:paraId="1C48AB55" w14:textId="244A296E" w:rsidR="004D5277" w:rsidRPr="00093EBB" w:rsidRDefault="00B6771A" w:rsidP="000B3766">
      <w:pPr>
        <w:spacing w:before="100" w:beforeAutospacing="1" w:after="100" w:afterAutospacing="1" w:line="312" w:lineRule="auto"/>
        <w:ind w:firstLine="720"/>
        <w:contextualSpacing/>
        <w:jc w:val="both"/>
        <w:rPr>
          <w:b/>
          <w:sz w:val="26"/>
          <w:szCs w:val="26"/>
          <w:lang w:val="sv-SE"/>
        </w:rPr>
      </w:pPr>
      <w:r w:rsidRPr="00093EBB">
        <w:rPr>
          <w:sz w:val="26"/>
          <w:szCs w:val="26"/>
          <w:lang w:val="sv-SE"/>
        </w:rPr>
        <w:t>Năm 202</w:t>
      </w:r>
      <w:r w:rsidR="00456282" w:rsidRPr="00093EBB">
        <w:rPr>
          <w:sz w:val="26"/>
          <w:szCs w:val="26"/>
          <w:lang w:val="sv-SE"/>
        </w:rPr>
        <w:t>4</w:t>
      </w:r>
      <w:r w:rsidR="002B3EC4" w:rsidRPr="00093EBB">
        <w:rPr>
          <w:sz w:val="26"/>
          <w:szCs w:val="26"/>
          <w:lang w:val="sv-SE"/>
        </w:rPr>
        <w:t>-2025</w:t>
      </w:r>
      <w:r w:rsidRPr="00093EBB">
        <w:rPr>
          <w:sz w:val="26"/>
          <w:szCs w:val="26"/>
          <w:lang w:val="sv-SE"/>
        </w:rPr>
        <w:t xml:space="preserve"> cần tiếp tục thực hiện nguyên tắc </w:t>
      </w:r>
      <w:r w:rsidR="00ED3E6F" w:rsidRPr="00093EBB">
        <w:rPr>
          <w:sz w:val="26"/>
          <w:szCs w:val="26"/>
          <w:lang w:val="sv-SE"/>
        </w:rPr>
        <w:t xml:space="preserve">điều hành chính sách tài khóa là chủ động, </w:t>
      </w:r>
      <w:r w:rsidRPr="00093EBB">
        <w:rPr>
          <w:sz w:val="26"/>
          <w:szCs w:val="26"/>
          <w:lang w:val="sv-SE"/>
        </w:rPr>
        <w:t>linh hoạt trong ứng biến về ngắn hạ</w:t>
      </w:r>
      <w:r w:rsidR="00EB099B" w:rsidRPr="00093EBB">
        <w:rPr>
          <w:sz w:val="26"/>
          <w:szCs w:val="26"/>
          <w:lang w:val="sv-SE"/>
        </w:rPr>
        <w:t>n nhưng tuân thủ các nguyên tắc cân đối ngân sách và k</w:t>
      </w:r>
      <w:r w:rsidR="00ED3E6F" w:rsidRPr="00093EBB">
        <w:rPr>
          <w:sz w:val="26"/>
          <w:szCs w:val="26"/>
          <w:lang w:val="sv-SE"/>
        </w:rPr>
        <w:t xml:space="preserve">ỷ luật tài chính </w:t>
      </w:r>
      <w:r w:rsidRPr="00093EBB">
        <w:rPr>
          <w:sz w:val="26"/>
          <w:szCs w:val="26"/>
          <w:lang w:val="sv-SE"/>
        </w:rPr>
        <w:t>về dài hạn</w:t>
      </w:r>
      <w:r w:rsidR="00EB099B" w:rsidRPr="00093EBB">
        <w:rPr>
          <w:sz w:val="26"/>
          <w:szCs w:val="26"/>
          <w:lang w:val="sv-SE"/>
        </w:rPr>
        <w:t xml:space="preserve">. </w:t>
      </w:r>
      <w:r w:rsidR="002B3EC4" w:rsidRPr="00093EBB">
        <w:rPr>
          <w:sz w:val="26"/>
          <w:szCs w:val="26"/>
          <w:lang w:val="sv-SE"/>
        </w:rPr>
        <w:t xml:space="preserve">Thế giới đang đối mặt với nhiều thay đổi </w:t>
      </w:r>
      <w:r w:rsidR="00381AD9" w:rsidRPr="00093EBB">
        <w:rPr>
          <w:sz w:val="26"/>
          <w:szCs w:val="26"/>
          <w:lang w:val="sv-SE"/>
        </w:rPr>
        <w:t>bất thường nên cũng cần có những giải pháp đặc thù mới có thể đối phó được</w:t>
      </w:r>
      <w:r w:rsidR="002B3EC4" w:rsidRPr="00093EBB">
        <w:rPr>
          <w:sz w:val="26"/>
          <w:szCs w:val="26"/>
          <w:lang w:val="sv-SE"/>
        </w:rPr>
        <w:t xml:space="preserve">. </w:t>
      </w:r>
    </w:p>
    <w:p w14:paraId="7724ED3C" w14:textId="77777777" w:rsidR="00C51F60" w:rsidRDefault="00C51F60" w:rsidP="000B3766">
      <w:pPr>
        <w:spacing w:before="100" w:beforeAutospacing="1" w:after="100" w:afterAutospacing="1" w:line="312" w:lineRule="auto"/>
        <w:jc w:val="both"/>
        <w:rPr>
          <w:b/>
          <w:sz w:val="26"/>
          <w:szCs w:val="26"/>
          <w:lang w:val="sv-SE"/>
        </w:rPr>
      </w:pPr>
    </w:p>
    <w:p w14:paraId="25A4E1CB" w14:textId="6164E7FE" w:rsidR="00627936" w:rsidRPr="00093EBB" w:rsidRDefault="00370D48" w:rsidP="000B3766">
      <w:pPr>
        <w:spacing w:before="100" w:beforeAutospacing="1" w:after="100" w:afterAutospacing="1" w:line="312" w:lineRule="auto"/>
        <w:jc w:val="both"/>
        <w:rPr>
          <w:b/>
          <w:sz w:val="26"/>
          <w:szCs w:val="26"/>
          <w:lang w:val="sv-SE"/>
        </w:rPr>
      </w:pPr>
      <w:r w:rsidRPr="00093EBB">
        <w:rPr>
          <w:b/>
          <w:sz w:val="26"/>
          <w:szCs w:val="26"/>
          <w:lang w:val="sv-SE"/>
        </w:rPr>
        <w:t>Tài liệu tham khảo</w:t>
      </w:r>
    </w:p>
    <w:p w14:paraId="0A1BCF2A" w14:textId="2EB3FFE2" w:rsidR="00C42010" w:rsidRPr="00093EBB" w:rsidRDefault="00C42010" w:rsidP="000B3766">
      <w:pPr>
        <w:numPr>
          <w:ilvl w:val="0"/>
          <w:numId w:val="3"/>
        </w:numPr>
        <w:spacing w:before="100" w:beforeAutospacing="1" w:after="100" w:afterAutospacing="1" w:line="312" w:lineRule="auto"/>
        <w:jc w:val="both"/>
        <w:rPr>
          <w:sz w:val="26"/>
          <w:szCs w:val="26"/>
          <w:lang w:val="sv-SE" w:bidi="en-US"/>
        </w:rPr>
      </w:pPr>
      <w:r w:rsidRPr="00093EBB">
        <w:rPr>
          <w:sz w:val="26"/>
          <w:szCs w:val="26"/>
          <w:lang w:val="sv-SE" w:bidi="en-US"/>
        </w:rPr>
        <w:t>ADB (20</w:t>
      </w:r>
      <w:r w:rsidR="00EB099B" w:rsidRPr="00093EBB">
        <w:rPr>
          <w:sz w:val="26"/>
          <w:szCs w:val="26"/>
          <w:lang w:val="sv-SE" w:bidi="en-US"/>
        </w:rPr>
        <w:t>2</w:t>
      </w:r>
      <w:r w:rsidR="002B3EC4" w:rsidRPr="00093EBB">
        <w:rPr>
          <w:sz w:val="26"/>
          <w:szCs w:val="26"/>
          <w:lang w:val="sv-SE" w:bidi="en-US"/>
        </w:rPr>
        <w:t>2</w:t>
      </w:r>
      <w:r w:rsidRPr="00093EBB">
        <w:rPr>
          <w:sz w:val="26"/>
          <w:szCs w:val="26"/>
          <w:lang w:val="sv-SE" w:bidi="en-US"/>
        </w:rPr>
        <w:t xml:space="preserve">) </w:t>
      </w:r>
      <w:r w:rsidR="00EB099B" w:rsidRPr="00093EBB">
        <w:rPr>
          <w:i/>
          <w:sz w:val="26"/>
          <w:szCs w:val="26"/>
          <w:lang w:val="sv-SE" w:bidi="en-US"/>
        </w:rPr>
        <w:t>Asian Development Outlook (ADO) 202</w:t>
      </w:r>
      <w:r w:rsidR="002B3EC4" w:rsidRPr="00093EBB">
        <w:rPr>
          <w:i/>
          <w:sz w:val="26"/>
          <w:szCs w:val="26"/>
          <w:lang w:val="sv-SE" w:bidi="en-US"/>
        </w:rPr>
        <w:t>2</w:t>
      </w:r>
      <w:r w:rsidR="00EB099B" w:rsidRPr="00093EBB">
        <w:rPr>
          <w:sz w:val="26"/>
          <w:szCs w:val="26"/>
          <w:lang w:val="sv-SE" w:bidi="en-US"/>
        </w:rPr>
        <w:t xml:space="preserve">, </w:t>
      </w:r>
      <w:r w:rsidR="00012D31" w:rsidRPr="00093EBB">
        <w:rPr>
          <w:sz w:val="26"/>
          <w:szCs w:val="26"/>
          <w:lang w:val="sv-SE" w:bidi="en-US"/>
        </w:rPr>
        <w:t>0</w:t>
      </w:r>
      <w:r w:rsidR="002B3EC4" w:rsidRPr="00093EBB">
        <w:rPr>
          <w:sz w:val="26"/>
          <w:szCs w:val="26"/>
          <w:lang w:val="sv-SE" w:bidi="en-US"/>
        </w:rPr>
        <w:t>7</w:t>
      </w:r>
      <w:r w:rsidR="00012D31" w:rsidRPr="00093EBB">
        <w:rPr>
          <w:sz w:val="26"/>
          <w:szCs w:val="26"/>
          <w:lang w:val="sv-SE" w:bidi="en-US"/>
        </w:rPr>
        <w:t>/</w:t>
      </w:r>
      <w:r w:rsidR="00EB099B" w:rsidRPr="00093EBB">
        <w:rPr>
          <w:sz w:val="26"/>
          <w:szCs w:val="26"/>
          <w:lang w:val="sv-SE" w:bidi="en-US"/>
        </w:rPr>
        <w:t>202</w:t>
      </w:r>
      <w:r w:rsidR="002B3EC4" w:rsidRPr="00093EBB">
        <w:rPr>
          <w:sz w:val="26"/>
          <w:szCs w:val="26"/>
          <w:lang w:val="sv-SE" w:bidi="en-US"/>
        </w:rPr>
        <w:t>2</w:t>
      </w:r>
      <w:r w:rsidR="00856993" w:rsidRPr="00093EBB">
        <w:rPr>
          <w:sz w:val="26"/>
          <w:szCs w:val="26"/>
          <w:lang w:val="sv-SE" w:bidi="en-US"/>
        </w:rPr>
        <w:t>.</w:t>
      </w:r>
    </w:p>
    <w:p w14:paraId="67E7334E" w14:textId="026B895B" w:rsidR="00BE2F9D" w:rsidRPr="00093EBB" w:rsidRDefault="00BE2F9D" w:rsidP="000B3766">
      <w:pPr>
        <w:numPr>
          <w:ilvl w:val="0"/>
          <w:numId w:val="3"/>
        </w:numPr>
        <w:spacing w:before="100" w:beforeAutospacing="1" w:after="100" w:afterAutospacing="1" w:line="312" w:lineRule="auto"/>
        <w:jc w:val="both"/>
        <w:rPr>
          <w:sz w:val="26"/>
          <w:szCs w:val="26"/>
          <w:lang w:val="sv-SE" w:bidi="en-US"/>
        </w:rPr>
      </w:pPr>
      <w:r w:rsidRPr="00093EBB">
        <w:rPr>
          <w:sz w:val="26"/>
          <w:szCs w:val="26"/>
          <w:lang w:val="sv-SE" w:bidi="en-US"/>
        </w:rPr>
        <w:t>Bộ Tài chính (nhiều năm) Dự toán và Quyết toán NSNN</w:t>
      </w:r>
    </w:p>
    <w:p w14:paraId="7D82F8D2" w14:textId="1E5C0777" w:rsidR="008E1969" w:rsidRPr="00093EBB" w:rsidRDefault="008E1969" w:rsidP="000B3766">
      <w:pPr>
        <w:numPr>
          <w:ilvl w:val="0"/>
          <w:numId w:val="3"/>
        </w:numPr>
        <w:spacing w:before="100" w:beforeAutospacing="1" w:after="100" w:afterAutospacing="1" w:line="312" w:lineRule="auto"/>
        <w:jc w:val="both"/>
        <w:rPr>
          <w:sz w:val="26"/>
          <w:szCs w:val="26"/>
          <w:lang w:val="sv-SE" w:bidi="en-US"/>
        </w:rPr>
      </w:pPr>
      <w:r w:rsidRPr="00093EBB">
        <w:rPr>
          <w:sz w:val="26"/>
          <w:szCs w:val="26"/>
          <w:lang w:val="sv-SE" w:bidi="en-US"/>
        </w:rPr>
        <w:t>IMF (202</w:t>
      </w:r>
      <w:r w:rsidR="002B3EC4" w:rsidRPr="00093EBB">
        <w:rPr>
          <w:sz w:val="26"/>
          <w:szCs w:val="26"/>
          <w:lang w:val="sv-SE" w:bidi="en-US"/>
        </w:rPr>
        <w:t>2</w:t>
      </w:r>
      <w:r w:rsidRPr="00093EBB">
        <w:rPr>
          <w:sz w:val="26"/>
          <w:szCs w:val="26"/>
          <w:lang w:val="sv-SE" w:bidi="en-US"/>
        </w:rPr>
        <w:t xml:space="preserve">) </w:t>
      </w:r>
      <w:r w:rsidR="00E94B91" w:rsidRPr="00093EBB">
        <w:rPr>
          <w:sz w:val="26"/>
          <w:szCs w:val="26"/>
          <w:lang w:val="sv-SE" w:bidi="en-US"/>
        </w:rPr>
        <w:t xml:space="preserve">Helping People Bounce Back - </w:t>
      </w:r>
      <w:r w:rsidR="002B3EC4" w:rsidRPr="00093EBB">
        <w:rPr>
          <w:sz w:val="26"/>
          <w:szCs w:val="26"/>
          <w:lang w:val="sv-SE" w:bidi="en-US"/>
        </w:rPr>
        <w:t>Fiscal Monitor</w:t>
      </w:r>
      <w:r w:rsidRPr="00093EBB">
        <w:rPr>
          <w:sz w:val="26"/>
          <w:szCs w:val="26"/>
          <w:lang w:val="sv-SE" w:bidi="en-US"/>
        </w:rPr>
        <w:t xml:space="preserve">, Washington DC. </w:t>
      </w:r>
      <w:r w:rsidR="00E94B91" w:rsidRPr="00093EBB">
        <w:rPr>
          <w:sz w:val="26"/>
          <w:szCs w:val="26"/>
          <w:lang w:val="sv-SE" w:bidi="en-US"/>
        </w:rPr>
        <w:t>10</w:t>
      </w:r>
      <w:r w:rsidR="002B3EC4" w:rsidRPr="00093EBB">
        <w:rPr>
          <w:sz w:val="26"/>
          <w:szCs w:val="26"/>
          <w:lang w:val="sv-SE" w:bidi="en-US"/>
        </w:rPr>
        <w:t>/2022</w:t>
      </w:r>
    </w:p>
    <w:p w14:paraId="09130B75" w14:textId="4905EC43" w:rsidR="002B3EC4" w:rsidRDefault="002B3EC4" w:rsidP="000B3766">
      <w:pPr>
        <w:numPr>
          <w:ilvl w:val="0"/>
          <w:numId w:val="3"/>
        </w:numPr>
        <w:spacing w:before="100" w:beforeAutospacing="1" w:after="100" w:afterAutospacing="1" w:line="312" w:lineRule="auto"/>
        <w:jc w:val="both"/>
        <w:rPr>
          <w:sz w:val="26"/>
          <w:szCs w:val="26"/>
          <w:lang w:val="sv-SE" w:bidi="en-US"/>
        </w:rPr>
      </w:pPr>
      <w:r w:rsidRPr="00093EBB">
        <w:rPr>
          <w:sz w:val="26"/>
          <w:szCs w:val="26"/>
          <w:lang w:val="sv-SE" w:bidi="en-US"/>
        </w:rPr>
        <w:t xml:space="preserve">IMF (2022) </w:t>
      </w:r>
      <w:r w:rsidR="00E94B91" w:rsidRPr="00093EBB">
        <w:rPr>
          <w:sz w:val="26"/>
          <w:szCs w:val="26"/>
          <w:lang w:val="sv-SE" w:bidi="en-US"/>
        </w:rPr>
        <w:t xml:space="preserve">Inflation and uncertainty - </w:t>
      </w:r>
      <w:r w:rsidRPr="00093EBB">
        <w:rPr>
          <w:sz w:val="26"/>
          <w:szCs w:val="26"/>
          <w:lang w:val="sv-SE" w:bidi="en-US"/>
        </w:rPr>
        <w:t xml:space="preserve">World Economic Outlook, </w:t>
      </w:r>
      <w:r w:rsidR="00E94B91" w:rsidRPr="00093EBB">
        <w:rPr>
          <w:sz w:val="26"/>
          <w:szCs w:val="26"/>
          <w:lang w:val="sv-SE" w:bidi="en-US"/>
        </w:rPr>
        <w:t>10/</w:t>
      </w:r>
      <w:r w:rsidRPr="00093EBB">
        <w:rPr>
          <w:sz w:val="26"/>
          <w:szCs w:val="26"/>
          <w:lang w:val="sv-SE" w:bidi="en-US"/>
        </w:rPr>
        <w:t>2022</w:t>
      </w:r>
    </w:p>
    <w:p w14:paraId="5C43BD35" w14:textId="5E04772D" w:rsidR="004A7303" w:rsidRPr="00093EBB" w:rsidRDefault="004A7303" w:rsidP="000B3766">
      <w:pPr>
        <w:numPr>
          <w:ilvl w:val="0"/>
          <w:numId w:val="3"/>
        </w:numPr>
        <w:spacing w:before="100" w:beforeAutospacing="1" w:after="100" w:afterAutospacing="1" w:line="312" w:lineRule="auto"/>
        <w:jc w:val="both"/>
        <w:rPr>
          <w:sz w:val="26"/>
          <w:szCs w:val="26"/>
          <w:lang w:val="sv-SE" w:bidi="en-US"/>
        </w:rPr>
      </w:pPr>
      <w:r>
        <w:rPr>
          <w:sz w:val="26"/>
          <w:szCs w:val="26"/>
          <w:lang w:val="sv-SE" w:bidi="en-US"/>
        </w:rPr>
        <w:t xml:space="preserve">IMF (2023) </w:t>
      </w:r>
      <w:r w:rsidRPr="004A7303">
        <w:rPr>
          <w:sz w:val="26"/>
          <w:szCs w:val="26"/>
          <w:lang w:val="sv-SE" w:bidi="en-US"/>
        </w:rPr>
        <w:t>IMF Staff Completes 2023 Article IV Mission to Vietnam</w:t>
      </w:r>
    </w:p>
    <w:p w14:paraId="1C6F6EAF" w14:textId="5BC27B87" w:rsidR="00012D31" w:rsidRPr="00093EBB" w:rsidRDefault="00012D31" w:rsidP="000B3766">
      <w:pPr>
        <w:numPr>
          <w:ilvl w:val="0"/>
          <w:numId w:val="3"/>
        </w:numPr>
        <w:spacing w:before="100" w:beforeAutospacing="1" w:after="100" w:afterAutospacing="1" w:line="312" w:lineRule="auto"/>
        <w:jc w:val="both"/>
        <w:rPr>
          <w:sz w:val="26"/>
          <w:szCs w:val="26"/>
          <w:lang w:val="sv-SE" w:bidi="en-US"/>
        </w:rPr>
      </w:pPr>
      <w:r w:rsidRPr="00093EBB">
        <w:rPr>
          <w:sz w:val="26"/>
          <w:szCs w:val="26"/>
          <w:lang w:val="sv-SE" w:bidi="en-US"/>
        </w:rPr>
        <w:t>Leeper, Eric M. (1991). "Equilibria under 'Active' and 'Passive' Monetary and Fiscal Policies". Journal of Monetary Economics. 27 (1): 129−147</w:t>
      </w:r>
    </w:p>
    <w:p w14:paraId="4F09DF28" w14:textId="0D514909" w:rsidR="0032078B" w:rsidRPr="00093EBB" w:rsidRDefault="0032078B" w:rsidP="000B3766">
      <w:pPr>
        <w:numPr>
          <w:ilvl w:val="0"/>
          <w:numId w:val="3"/>
        </w:numPr>
        <w:spacing w:before="100" w:beforeAutospacing="1" w:after="100" w:afterAutospacing="1" w:line="312" w:lineRule="auto"/>
        <w:jc w:val="both"/>
        <w:rPr>
          <w:sz w:val="26"/>
          <w:szCs w:val="26"/>
          <w:lang w:val="sv-SE" w:bidi="en-US"/>
        </w:rPr>
      </w:pPr>
      <w:r w:rsidRPr="00093EBB">
        <w:rPr>
          <w:sz w:val="26"/>
          <w:szCs w:val="26"/>
          <w:lang w:val="sv-SE" w:bidi="en-US"/>
        </w:rPr>
        <w:t>Tổng cục Thống kê (2022) Báo cáo tình hình kinh tế xã hội tháng 8 và 8 tháng năm 2022</w:t>
      </w:r>
    </w:p>
    <w:p w14:paraId="6DA906A1" w14:textId="77777777" w:rsidR="00012D31" w:rsidRPr="00093EBB" w:rsidRDefault="00012D31" w:rsidP="000B3766">
      <w:pPr>
        <w:numPr>
          <w:ilvl w:val="0"/>
          <w:numId w:val="3"/>
        </w:numPr>
        <w:spacing w:before="100" w:beforeAutospacing="1" w:after="100" w:afterAutospacing="1" w:line="312" w:lineRule="auto"/>
        <w:jc w:val="both"/>
        <w:rPr>
          <w:sz w:val="26"/>
          <w:szCs w:val="26"/>
          <w:lang w:val="sv-SE" w:bidi="en-US"/>
        </w:rPr>
      </w:pPr>
      <w:r w:rsidRPr="00093EBB">
        <w:rPr>
          <w:sz w:val="26"/>
          <w:szCs w:val="26"/>
          <w:lang w:val="sv-SE" w:bidi="en-US"/>
        </w:rPr>
        <w:t>Vũ Sỹ Cường (2016) Chính sách tài khóa và tăng trưởng kinh tế: tổng hợp từ nghiên cứu lý thuyết và thực nghiệm – Tạp chí Kinh tế tài chính</w:t>
      </w:r>
    </w:p>
    <w:p w14:paraId="0FC2A889" w14:textId="6C417B0A" w:rsidR="00BE2F9D" w:rsidRPr="00093EBB" w:rsidRDefault="00BE2F9D" w:rsidP="000B3766">
      <w:pPr>
        <w:numPr>
          <w:ilvl w:val="0"/>
          <w:numId w:val="3"/>
        </w:numPr>
        <w:spacing w:before="100" w:beforeAutospacing="1" w:after="100" w:afterAutospacing="1" w:line="312" w:lineRule="auto"/>
        <w:jc w:val="both"/>
        <w:rPr>
          <w:sz w:val="26"/>
          <w:szCs w:val="26"/>
          <w:lang w:val="sv-SE" w:bidi="en-US"/>
        </w:rPr>
      </w:pPr>
      <w:r w:rsidRPr="00093EBB">
        <w:rPr>
          <w:sz w:val="26"/>
          <w:szCs w:val="26"/>
          <w:lang w:val="sv-SE" w:bidi="en-US"/>
        </w:rPr>
        <w:t xml:space="preserve">Vũ Sỹ Cường (2012) </w:t>
      </w:r>
      <w:r w:rsidRPr="00093EBB">
        <w:rPr>
          <w:i/>
          <w:sz w:val="26"/>
          <w:szCs w:val="26"/>
          <w:lang w:val="sv-SE" w:bidi="en-US"/>
        </w:rPr>
        <w:t>“Quan hệ giữa lập dự toán và thưc hiện ngân sách nhà nước với lạm phát”</w:t>
      </w:r>
      <w:r w:rsidRPr="00093EBB">
        <w:rPr>
          <w:sz w:val="26"/>
          <w:szCs w:val="26"/>
          <w:lang w:val="sv-SE" w:bidi="en-US"/>
        </w:rPr>
        <w:t xml:space="preserve"> – Tạp chí Ngân hàng số 2/2012.</w:t>
      </w:r>
    </w:p>
    <w:p w14:paraId="7166A236" w14:textId="77777777" w:rsidR="00E94B91" w:rsidRPr="00093EBB" w:rsidRDefault="00E94B91" w:rsidP="00E94B91">
      <w:pPr>
        <w:numPr>
          <w:ilvl w:val="0"/>
          <w:numId w:val="3"/>
        </w:numPr>
        <w:spacing w:before="100" w:beforeAutospacing="1" w:after="100" w:afterAutospacing="1" w:line="312" w:lineRule="auto"/>
        <w:jc w:val="both"/>
        <w:rPr>
          <w:sz w:val="26"/>
          <w:szCs w:val="26"/>
          <w:lang w:val="sv-SE" w:bidi="en-US"/>
        </w:rPr>
      </w:pPr>
      <w:r w:rsidRPr="00093EBB">
        <w:rPr>
          <w:sz w:val="26"/>
          <w:szCs w:val="26"/>
          <w:lang w:val="sv-SE" w:bidi="en-US"/>
        </w:rPr>
        <w:t>Vũ Sỹ Cường (2021) “ Dư địa chính sách tài khóa và phối hợp chính sách tài khóa – tiền tệ cho phục hồi và phát triển kinh tế trong bối cảnh bình thường mới” – Diễn đàn kinh tế xã hội của Quốc hội</w:t>
      </w:r>
    </w:p>
    <w:p w14:paraId="0969D56D" w14:textId="77777777" w:rsidR="00E94B91" w:rsidRPr="00093EBB" w:rsidRDefault="00E94B91" w:rsidP="00E94B91">
      <w:pPr>
        <w:numPr>
          <w:ilvl w:val="0"/>
          <w:numId w:val="3"/>
        </w:numPr>
        <w:spacing w:before="100" w:beforeAutospacing="1" w:after="100" w:afterAutospacing="1" w:line="312" w:lineRule="auto"/>
        <w:jc w:val="both"/>
        <w:rPr>
          <w:sz w:val="26"/>
          <w:szCs w:val="26"/>
          <w:lang w:val="sv-SE" w:bidi="en-US"/>
        </w:rPr>
      </w:pPr>
      <w:r w:rsidRPr="00093EBB">
        <w:rPr>
          <w:sz w:val="26"/>
          <w:szCs w:val="26"/>
          <w:lang w:val="sv-SE" w:bidi="en-US"/>
        </w:rPr>
        <w:lastRenderedPageBreak/>
        <w:t>Vũ Sỹ Cường (2022) Chính sách tài khóa hỗ trợ ổn định và phục hồi kinh tế giai đoạn 2022-2025: Thực trạng và giải pháp – Diễn đàn kinh tế xã hội của Quốc hội</w:t>
      </w:r>
    </w:p>
    <w:p w14:paraId="3CA065E0" w14:textId="5F3E59FF" w:rsidR="0032078B" w:rsidRPr="00093EBB" w:rsidRDefault="004D5277" w:rsidP="000B3766">
      <w:pPr>
        <w:numPr>
          <w:ilvl w:val="0"/>
          <w:numId w:val="3"/>
        </w:numPr>
        <w:spacing w:before="100" w:beforeAutospacing="1" w:after="100" w:afterAutospacing="1" w:line="312" w:lineRule="auto"/>
        <w:jc w:val="both"/>
        <w:rPr>
          <w:sz w:val="26"/>
          <w:szCs w:val="26"/>
          <w:lang w:val="sv-SE" w:bidi="en-US"/>
        </w:rPr>
      </w:pPr>
      <w:r w:rsidRPr="00093EBB">
        <w:rPr>
          <w:sz w:val="26"/>
          <w:szCs w:val="26"/>
          <w:lang w:val="sv-SE" w:bidi="en-US"/>
        </w:rPr>
        <w:t>World Bank – IMF (2018) The Debt Sustainability Framework for Low-Income Countries</w:t>
      </w:r>
    </w:p>
    <w:p w14:paraId="16268F0D" w14:textId="20D3C253" w:rsidR="00FF2A04" w:rsidRPr="00093EBB" w:rsidRDefault="001B1516" w:rsidP="00ED2BB6">
      <w:pPr>
        <w:numPr>
          <w:ilvl w:val="0"/>
          <w:numId w:val="3"/>
        </w:numPr>
        <w:spacing w:before="100" w:beforeAutospacing="1" w:after="100" w:afterAutospacing="1" w:line="312" w:lineRule="auto"/>
        <w:jc w:val="both"/>
        <w:rPr>
          <w:i/>
          <w:sz w:val="26"/>
          <w:szCs w:val="26"/>
          <w:lang w:val="sv-SE" w:bidi="en-US"/>
        </w:rPr>
      </w:pPr>
      <w:r w:rsidRPr="00093EBB">
        <w:rPr>
          <w:sz w:val="26"/>
          <w:szCs w:val="26"/>
          <w:lang w:val="sv-SE" w:bidi="en-US"/>
        </w:rPr>
        <w:t>World Bank (202</w:t>
      </w:r>
      <w:r w:rsidR="00456282" w:rsidRPr="00093EBB">
        <w:rPr>
          <w:sz w:val="26"/>
          <w:szCs w:val="26"/>
          <w:lang w:val="sv-SE" w:bidi="en-US"/>
        </w:rPr>
        <w:t>3</w:t>
      </w:r>
      <w:r w:rsidRPr="00093EBB">
        <w:rPr>
          <w:sz w:val="26"/>
          <w:szCs w:val="26"/>
          <w:lang w:val="sv-SE" w:bidi="en-US"/>
        </w:rPr>
        <w:t xml:space="preserve">) Cập nhật tình hình kinh tế Việt nam, tháng </w:t>
      </w:r>
      <w:r w:rsidR="00456282" w:rsidRPr="00093EBB">
        <w:rPr>
          <w:sz w:val="26"/>
          <w:szCs w:val="26"/>
          <w:lang w:val="sv-SE" w:bidi="en-US"/>
        </w:rPr>
        <w:t>08/2023</w:t>
      </w:r>
    </w:p>
    <w:p w14:paraId="5775D0BD" w14:textId="77777777" w:rsidR="00090BFF" w:rsidRPr="00093EBB" w:rsidRDefault="00090BFF" w:rsidP="000B3766">
      <w:pPr>
        <w:spacing w:before="100" w:beforeAutospacing="1" w:after="100" w:afterAutospacing="1" w:line="312" w:lineRule="auto"/>
        <w:jc w:val="both"/>
        <w:rPr>
          <w:sz w:val="26"/>
          <w:szCs w:val="26"/>
          <w:lang w:val="sv-SE"/>
        </w:rPr>
      </w:pPr>
    </w:p>
    <w:sectPr w:rsidR="00090BFF" w:rsidRPr="00093EBB" w:rsidSect="009D4925">
      <w:footerReference w:type="default" r:id="rId12"/>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548D" w14:textId="77777777" w:rsidR="005E0C36" w:rsidRDefault="005E0C36" w:rsidP="00886F2D">
      <w:r>
        <w:separator/>
      </w:r>
    </w:p>
  </w:endnote>
  <w:endnote w:type="continuationSeparator" w:id="0">
    <w:p w14:paraId="20BC8E29" w14:textId="77777777" w:rsidR="005E0C36" w:rsidRDefault="005E0C36" w:rsidP="0088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14725"/>
      <w:docPartObj>
        <w:docPartGallery w:val="Page Numbers (Bottom of Page)"/>
        <w:docPartUnique/>
      </w:docPartObj>
    </w:sdtPr>
    <w:sdtContent>
      <w:p w14:paraId="65EBDEA1" w14:textId="77777777" w:rsidR="005D2E98" w:rsidRDefault="00926852">
        <w:pPr>
          <w:pStyle w:val="Footer"/>
          <w:jc w:val="right"/>
        </w:pPr>
        <w:r>
          <w:fldChar w:fldCharType="begin"/>
        </w:r>
        <w:r>
          <w:instrText xml:space="preserve"> PAGE   \* MERGEFORMAT </w:instrText>
        </w:r>
        <w:r>
          <w:fldChar w:fldCharType="separate"/>
        </w:r>
        <w:r w:rsidR="002113CD">
          <w:rPr>
            <w:noProof/>
          </w:rPr>
          <w:t>10</w:t>
        </w:r>
        <w:r>
          <w:rPr>
            <w:noProof/>
          </w:rPr>
          <w:fldChar w:fldCharType="end"/>
        </w:r>
      </w:p>
    </w:sdtContent>
  </w:sdt>
  <w:p w14:paraId="24C8C232" w14:textId="77777777" w:rsidR="005D2E98" w:rsidRDefault="005D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6C1E" w14:textId="77777777" w:rsidR="005E0C36" w:rsidRDefault="005E0C36" w:rsidP="00886F2D">
      <w:r>
        <w:separator/>
      </w:r>
    </w:p>
  </w:footnote>
  <w:footnote w:type="continuationSeparator" w:id="0">
    <w:p w14:paraId="6B1A0C99" w14:textId="77777777" w:rsidR="005E0C36" w:rsidRDefault="005E0C36" w:rsidP="00886F2D">
      <w:r>
        <w:continuationSeparator/>
      </w:r>
    </w:p>
  </w:footnote>
  <w:footnote w:id="1">
    <w:p w14:paraId="335398E4" w14:textId="1B62A350" w:rsidR="009322E2" w:rsidRDefault="009322E2">
      <w:pPr>
        <w:pStyle w:val="FootnoteText"/>
      </w:pPr>
      <w:r>
        <w:rPr>
          <w:rStyle w:val="FootnoteReference"/>
        </w:rPr>
        <w:footnoteRef/>
      </w:r>
      <w:r>
        <w:t xml:space="preserve"> </w:t>
      </w:r>
      <w:r w:rsidR="00914C5F">
        <w:t xml:space="preserve">Bài viết thể hiện quan điểm cá nhân của chuyên gia và không phải của cơ quan nơi tác giả làm việc là </w:t>
      </w:r>
      <w:r w:rsidR="00187D62">
        <w:t>Học viện</w:t>
      </w:r>
      <w:r>
        <w:t xml:space="preserve"> Tài chính</w:t>
      </w:r>
    </w:p>
  </w:footnote>
  <w:footnote w:id="2">
    <w:p w14:paraId="0FB2D9B6" w14:textId="77777777" w:rsidR="00483CE6" w:rsidRDefault="00483CE6" w:rsidP="00483CE6">
      <w:pPr>
        <w:pStyle w:val="FootnoteText"/>
      </w:pPr>
      <w:r>
        <w:rPr>
          <w:rStyle w:val="FootnoteReference"/>
        </w:rPr>
        <w:footnoteRef/>
      </w:r>
      <w:r>
        <w:t xml:space="preserve"> IMF</w:t>
      </w:r>
      <w:r w:rsidRPr="00743C9D">
        <w:t xml:space="preserve"> </w:t>
      </w:r>
      <w:r>
        <w:t>tháng 5/2023</w:t>
      </w:r>
    </w:p>
  </w:footnote>
  <w:footnote w:id="3">
    <w:p w14:paraId="11B53198" w14:textId="7FEB5BC3" w:rsidR="002C63B8" w:rsidRDefault="002C63B8">
      <w:pPr>
        <w:pStyle w:val="FootnoteText"/>
      </w:pPr>
      <w:r>
        <w:rPr>
          <w:rStyle w:val="FootnoteReference"/>
        </w:rPr>
        <w:footnoteRef/>
      </w:r>
      <w:r>
        <w:t xml:space="preserve"> Xem thêm hướng dẫn về đánh giá quản lý tài chính công PEFA framwork (2016) của Ngân hàng thế giới.</w:t>
      </w:r>
    </w:p>
  </w:footnote>
  <w:footnote w:id="4">
    <w:p w14:paraId="50DA372E" w14:textId="77777777" w:rsidR="00093EBB" w:rsidRDefault="00093EBB" w:rsidP="00093EBB">
      <w:pPr>
        <w:pStyle w:val="FootnoteText"/>
      </w:pPr>
      <w:r>
        <w:rPr>
          <w:rStyle w:val="FootnoteReference"/>
        </w:rPr>
        <w:footnoteRef/>
      </w:r>
      <w:r>
        <w:t xml:space="preserve"> Xem thêm Vũ Sỹ Cường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901"/>
    <w:multiLevelType w:val="hybridMultilevel"/>
    <w:tmpl w:val="6636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F6599"/>
    <w:multiLevelType w:val="hybridMultilevel"/>
    <w:tmpl w:val="D402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72B2E"/>
    <w:multiLevelType w:val="hybridMultilevel"/>
    <w:tmpl w:val="A2DA32D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15:restartNumberingAfterBreak="0">
    <w:nsid w:val="48DA233E"/>
    <w:multiLevelType w:val="hybridMultilevel"/>
    <w:tmpl w:val="48241FF0"/>
    <w:lvl w:ilvl="0" w:tplc="5C082D54">
      <w:start w:val="2"/>
      <w:numFmt w:val="bullet"/>
      <w:lvlText w:val="-"/>
      <w:lvlJc w:val="left"/>
      <w:pPr>
        <w:ind w:left="1080" w:hanging="360"/>
      </w:pPr>
      <w:rPr>
        <w:rFonts w:ascii="Times New Roman" w:eastAsia="MS Mincho"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7125345">
    <w:abstractNumId w:val="0"/>
  </w:num>
  <w:num w:numId="2" w16cid:durableId="236669279">
    <w:abstractNumId w:val="3"/>
  </w:num>
  <w:num w:numId="3" w16cid:durableId="2029524877">
    <w:abstractNumId w:val="1"/>
  </w:num>
  <w:num w:numId="4" w16cid:durableId="229734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32"/>
    <w:rsid w:val="00005FFB"/>
    <w:rsid w:val="00010A07"/>
    <w:rsid w:val="00011FD1"/>
    <w:rsid w:val="00012D31"/>
    <w:rsid w:val="00015DB6"/>
    <w:rsid w:val="00017069"/>
    <w:rsid w:val="00020903"/>
    <w:rsid w:val="00020BAC"/>
    <w:rsid w:val="000269BE"/>
    <w:rsid w:val="00031AFA"/>
    <w:rsid w:val="00032995"/>
    <w:rsid w:val="00032AB5"/>
    <w:rsid w:val="00040B3D"/>
    <w:rsid w:val="000518BB"/>
    <w:rsid w:val="00061169"/>
    <w:rsid w:val="00070CD6"/>
    <w:rsid w:val="000718C8"/>
    <w:rsid w:val="00074342"/>
    <w:rsid w:val="00074D95"/>
    <w:rsid w:val="0007553E"/>
    <w:rsid w:val="00081DEA"/>
    <w:rsid w:val="00090BFF"/>
    <w:rsid w:val="00093EBB"/>
    <w:rsid w:val="000A0615"/>
    <w:rsid w:val="000A2B90"/>
    <w:rsid w:val="000A79FD"/>
    <w:rsid w:val="000B13C9"/>
    <w:rsid w:val="000B3766"/>
    <w:rsid w:val="000B6D06"/>
    <w:rsid w:val="000C371B"/>
    <w:rsid w:val="000C3747"/>
    <w:rsid w:val="000D0A61"/>
    <w:rsid w:val="000E4882"/>
    <w:rsid w:val="000F0FBA"/>
    <w:rsid w:val="00104E73"/>
    <w:rsid w:val="001107AC"/>
    <w:rsid w:val="0011627D"/>
    <w:rsid w:val="0013013C"/>
    <w:rsid w:val="00132E49"/>
    <w:rsid w:val="00133473"/>
    <w:rsid w:val="00136E58"/>
    <w:rsid w:val="001467B7"/>
    <w:rsid w:val="00147528"/>
    <w:rsid w:val="001518A5"/>
    <w:rsid w:val="00163740"/>
    <w:rsid w:val="00165312"/>
    <w:rsid w:val="0017094B"/>
    <w:rsid w:val="00177BF3"/>
    <w:rsid w:val="00180FE7"/>
    <w:rsid w:val="0018364D"/>
    <w:rsid w:val="0018623B"/>
    <w:rsid w:val="00187049"/>
    <w:rsid w:val="00187D62"/>
    <w:rsid w:val="00191F1F"/>
    <w:rsid w:val="0019313C"/>
    <w:rsid w:val="001A0DDD"/>
    <w:rsid w:val="001A3623"/>
    <w:rsid w:val="001A3DC6"/>
    <w:rsid w:val="001B1516"/>
    <w:rsid w:val="001B1E89"/>
    <w:rsid w:val="001B7D86"/>
    <w:rsid w:val="001C049B"/>
    <w:rsid w:val="001C32CF"/>
    <w:rsid w:val="001D6C47"/>
    <w:rsid w:val="001E0C11"/>
    <w:rsid w:val="001E3960"/>
    <w:rsid w:val="001F754E"/>
    <w:rsid w:val="00200597"/>
    <w:rsid w:val="0020314C"/>
    <w:rsid w:val="00210073"/>
    <w:rsid w:val="00210489"/>
    <w:rsid w:val="002113CD"/>
    <w:rsid w:val="002245F6"/>
    <w:rsid w:val="00235FEE"/>
    <w:rsid w:val="0024076B"/>
    <w:rsid w:val="00242E01"/>
    <w:rsid w:val="002531C4"/>
    <w:rsid w:val="002553DA"/>
    <w:rsid w:val="002566A2"/>
    <w:rsid w:val="00256ECD"/>
    <w:rsid w:val="00257748"/>
    <w:rsid w:val="00260ACA"/>
    <w:rsid w:val="00262C75"/>
    <w:rsid w:val="00263192"/>
    <w:rsid w:val="002706F8"/>
    <w:rsid w:val="00276A89"/>
    <w:rsid w:val="00281114"/>
    <w:rsid w:val="0028176E"/>
    <w:rsid w:val="00282292"/>
    <w:rsid w:val="00282FEF"/>
    <w:rsid w:val="002842D4"/>
    <w:rsid w:val="00284D61"/>
    <w:rsid w:val="002900E2"/>
    <w:rsid w:val="002949CA"/>
    <w:rsid w:val="00295321"/>
    <w:rsid w:val="00295B3A"/>
    <w:rsid w:val="002A0346"/>
    <w:rsid w:val="002A2783"/>
    <w:rsid w:val="002A53FE"/>
    <w:rsid w:val="002A567D"/>
    <w:rsid w:val="002B3EC4"/>
    <w:rsid w:val="002C49D7"/>
    <w:rsid w:val="002C53C3"/>
    <w:rsid w:val="002C63B8"/>
    <w:rsid w:val="002D0570"/>
    <w:rsid w:val="002D255A"/>
    <w:rsid w:val="002D5380"/>
    <w:rsid w:val="002D6059"/>
    <w:rsid w:val="002D687E"/>
    <w:rsid w:val="002D7C4A"/>
    <w:rsid w:val="002E133E"/>
    <w:rsid w:val="002E5936"/>
    <w:rsid w:val="00301885"/>
    <w:rsid w:val="0030489D"/>
    <w:rsid w:val="0032078B"/>
    <w:rsid w:val="00320F43"/>
    <w:rsid w:val="00324D32"/>
    <w:rsid w:val="003276BE"/>
    <w:rsid w:val="0033679A"/>
    <w:rsid w:val="0034075F"/>
    <w:rsid w:val="00342A0F"/>
    <w:rsid w:val="003448FD"/>
    <w:rsid w:val="00352B29"/>
    <w:rsid w:val="00354E22"/>
    <w:rsid w:val="00354FC3"/>
    <w:rsid w:val="0035771B"/>
    <w:rsid w:val="00357978"/>
    <w:rsid w:val="00361124"/>
    <w:rsid w:val="003656F7"/>
    <w:rsid w:val="00366154"/>
    <w:rsid w:val="00370D48"/>
    <w:rsid w:val="003807F4"/>
    <w:rsid w:val="0038136F"/>
    <w:rsid w:val="00381AD9"/>
    <w:rsid w:val="00383E10"/>
    <w:rsid w:val="00383FF9"/>
    <w:rsid w:val="00387C17"/>
    <w:rsid w:val="00390AEB"/>
    <w:rsid w:val="00391C49"/>
    <w:rsid w:val="00393946"/>
    <w:rsid w:val="00394978"/>
    <w:rsid w:val="003973DA"/>
    <w:rsid w:val="003A6471"/>
    <w:rsid w:val="003B2797"/>
    <w:rsid w:val="003B3AC3"/>
    <w:rsid w:val="003C7114"/>
    <w:rsid w:val="003D0403"/>
    <w:rsid w:val="003E14BB"/>
    <w:rsid w:val="003E62AD"/>
    <w:rsid w:val="003E664C"/>
    <w:rsid w:val="003F3982"/>
    <w:rsid w:val="003F44DA"/>
    <w:rsid w:val="003F6E1A"/>
    <w:rsid w:val="0040454F"/>
    <w:rsid w:val="00412CD8"/>
    <w:rsid w:val="00415208"/>
    <w:rsid w:val="00416785"/>
    <w:rsid w:val="00416DA0"/>
    <w:rsid w:val="00421A90"/>
    <w:rsid w:val="0043356A"/>
    <w:rsid w:val="004437BE"/>
    <w:rsid w:val="004471A9"/>
    <w:rsid w:val="00447E63"/>
    <w:rsid w:val="0045319E"/>
    <w:rsid w:val="00453DBB"/>
    <w:rsid w:val="00454132"/>
    <w:rsid w:val="00456282"/>
    <w:rsid w:val="00460370"/>
    <w:rsid w:val="004666D0"/>
    <w:rsid w:val="00470A06"/>
    <w:rsid w:val="004773E0"/>
    <w:rsid w:val="00483CE6"/>
    <w:rsid w:val="00487081"/>
    <w:rsid w:val="004949DE"/>
    <w:rsid w:val="004A2BE9"/>
    <w:rsid w:val="004A3BBD"/>
    <w:rsid w:val="004A5146"/>
    <w:rsid w:val="004A54B2"/>
    <w:rsid w:val="004A7303"/>
    <w:rsid w:val="004B1D51"/>
    <w:rsid w:val="004B399C"/>
    <w:rsid w:val="004B5591"/>
    <w:rsid w:val="004D1A7B"/>
    <w:rsid w:val="004D1C99"/>
    <w:rsid w:val="004D31E7"/>
    <w:rsid w:val="004D394A"/>
    <w:rsid w:val="004D425F"/>
    <w:rsid w:val="004D5277"/>
    <w:rsid w:val="004D6D43"/>
    <w:rsid w:val="004D76BE"/>
    <w:rsid w:val="004E3F23"/>
    <w:rsid w:val="004E5753"/>
    <w:rsid w:val="004F1014"/>
    <w:rsid w:val="004F6E4B"/>
    <w:rsid w:val="004F75F0"/>
    <w:rsid w:val="005042F8"/>
    <w:rsid w:val="005050FD"/>
    <w:rsid w:val="00507FFC"/>
    <w:rsid w:val="00512815"/>
    <w:rsid w:val="005130DF"/>
    <w:rsid w:val="005141A6"/>
    <w:rsid w:val="005148B2"/>
    <w:rsid w:val="0051533C"/>
    <w:rsid w:val="0052256A"/>
    <w:rsid w:val="005225B4"/>
    <w:rsid w:val="00522EE6"/>
    <w:rsid w:val="00525DEE"/>
    <w:rsid w:val="00527C4D"/>
    <w:rsid w:val="00534AAE"/>
    <w:rsid w:val="005376EA"/>
    <w:rsid w:val="005465D8"/>
    <w:rsid w:val="00546C2B"/>
    <w:rsid w:val="005512B1"/>
    <w:rsid w:val="00554E70"/>
    <w:rsid w:val="005579C7"/>
    <w:rsid w:val="00560D79"/>
    <w:rsid w:val="00560E73"/>
    <w:rsid w:val="00564EEA"/>
    <w:rsid w:val="00572457"/>
    <w:rsid w:val="00573B61"/>
    <w:rsid w:val="00581F4C"/>
    <w:rsid w:val="00594586"/>
    <w:rsid w:val="005B747F"/>
    <w:rsid w:val="005B7EA8"/>
    <w:rsid w:val="005C4806"/>
    <w:rsid w:val="005D2E98"/>
    <w:rsid w:val="005D41F2"/>
    <w:rsid w:val="005D5B23"/>
    <w:rsid w:val="005D69A4"/>
    <w:rsid w:val="005E0C36"/>
    <w:rsid w:val="005E4B1A"/>
    <w:rsid w:val="005E603C"/>
    <w:rsid w:val="005F4727"/>
    <w:rsid w:val="00600CB1"/>
    <w:rsid w:val="00606C71"/>
    <w:rsid w:val="00612564"/>
    <w:rsid w:val="00617037"/>
    <w:rsid w:val="00627936"/>
    <w:rsid w:val="0063732B"/>
    <w:rsid w:val="006407A2"/>
    <w:rsid w:val="00647A5A"/>
    <w:rsid w:val="00650650"/>
    <w:rsid w:val="00650CF1"/>
    <w:rsid w:val="006519E6"/>
    <w:rsid w:val="006557D5"/>
    <w:rsid w:val="00661418"/>
    <w:rsid w:val="006627AA"/>
    <w:rsid w:val="00664E01"/>
    <w:rsid w:val="00667240"/>
    <w:rsid w:val="0067431E"/>
    <w:rsid w:val="00683CE8"/>
    <w:rsid w:val="006878C2"/>
    <w:rsid w:val="00692008"/>
    <w:rsid w:val="006A0CD7"/>
    <w:rsid w:val="006A7F33"/>
    <w:rsid w:val="006B085C"/>
    <w:rsid w:val="006B0BE7"/>
    <w:rsid w:val="006B2D88"/>
    <w:rsid w:val="006B3096"/>
    <w:rsid w:val="006B3223"/>
    <w:rsid w:val="006B5342"/>
    <w:rsid w:val="006B5D03"/>
    <w:rsid w:val="006C51AC"/>
    <w:rsid w:val="006F1733"/>
    <w:rsid w:val="006F7504"/>
    <w:rsid w:val="00703C70"/>
    <w:rsid w:val="00704288"/>
    <w:rsid w:val="007051BB"/>
    <w:rsid w:val="0070755D"/>
    <w:rsid w:val="00710DFB"/>
    <w:rsid w:val="00711FB8"/>
    <w:rsid w:val="007257CD"/>
    <w:rsid w:val="00734D51"/>
    <w:rsid w:val="00734D72"/>
    <w:rsid w:val="00743C9D"/>
    <w:rsid w:val="00753BE7"/>
    <w:rsid w:val="00754FB9"/>
    <w:rsid w:val="007624AD"/>
    <w:rsid w:val="007625D1"/>
    <w:rsid w:val="00766639"/>
    <w:rsid w:val="00766F10"/>
    <w:rsid w:val="0077114C"/>
    <w:rsid w:val="00774C10"/>
    <w:rsid w:val="00775B9D"/>
    <w:rsid w:val="00783F0A"/>
    <w:rsid w:val="00784D7C"/>
    <w:rsid w:val="0078627F"/>
    <w:rsid w:val="007873B5"/>
    <w:rsid w:val="007A5A07"/>
    <w:rsid w:val="007B0910"/>
    <w:rsid w:val="007C120B"/>
    <w:rsid w:val="007C58B8"/>
    <w:rsid w:val="007C75F2"/>
    <w:rsid w:val="007D4ECA"/>
    <w:rsid w:val="007D731E"/>
    <w:rsid w:val="007E49A6"/>
    <w:rsid w:val="007E5138"/>
    <w:rsid w:val="007F5A51"/>
    <w:rsid w:val="0080125F"/>
    <w:rsid w:val="00802EA1"/>
    <w:rsid w:val="008104EC"/>
    <w:rsid w:val="00816E35"/>
    <w:rsid w:val="0082232F"/>
    <w:rsid w:val="0082244E"/>
    <w:rsid w:val="0082342C"/>
    <w:rsid w:val="008241C6"/>
    <w:rsid w:val="008337A2"/>
    <w:rsid w:val="00833CD2"/>
    <w:rsid w:val="0083512D"/>
    <w:rsid w:val="0083615B"/>
    <w:rsid w:val="008372E7"/>
    <w:rsid w:val="00842E1B"/>
    <w:rsid w:val="00844022"/>
    <w:rsid w:val="00844523"/>
    <w:rsid w:val="008450DA"/>
    <w:rsid w:val="008518DD"/>
    <w:rsid w:val="00856993"/>
    <w:rsid w:val="00857B66"/>
    <w:rsid w:val="00857C5B"/>
    <w:rsid w:val="00867890"/>
    <w:rsid w:val="00871C29"/>
    <w:rsid w:val="008766A0"/>
    <w:rsid w:val="0087698A"/>
    <w:rsid w:val="0088029A"/>
    <w:rsid w:val="0088305A"/>
    <w:rsid w:val="00886F2D"/>
    <w:rsid w:val="00893172"/>
    <w:rsid w:val="00895F6B"/>
    <w:rsid w:val="0089746A"/>
    <w:rsid w:val="008A3403"/>
    <w:rsid w:val="008A34A1"/>
    <w:rsid w:val="008A35BB"/>
    <w:rsid w:val="008A6C40"/>
    <w:rsid w:val="008B043A"/>
    <w:rsid w:val="008B5294"/>
    <w:rsid w:val="008C2F0A"/>
    <w:rsid w:val="008C415E"/>
    <w:rsid w:val="008D004C"/>
    <w:rsid w:val="008D4541"/>
    <w:rsid w:val="008D566D"/>
    <w:rsid w:val="008D66F7"/>
    <w:rsid w:val="008E051E"/>
    <w:rsid w:val="008E1969"/>
    <w:rsid w:val="008E3333"/>
    <w:rsid w:val="008E411A"/>
    <w:rsid w:val="008E624D"/>
    <w:rsid w:val="008F1158"/>
    <w:rsid w:val="008F195E"/>
    <w:rsid w:val="00902012"/>
    <w:rsid w:val="00914C5F"/>
    <w:rsid w:val="00926852"/>
    <w:rsid w:val="009315A4"/>
    <w:rsid w:val="009322E2"/>
    <w:rsid w:val="0094328C"/>
    <w:rsid w:val="009437C7"/>
    <w:rsid w:val="009466F1"/>
    <w:rsid w:val="00950555"/>
    <w:rsid w:val="00953926"/>
    <w:rsid w:val="0095422D"/>
    <w:rsid w:val="00963DE9"/>
    <w:rsid w:val="00964FBA"/>
    <w:rsid w:val="009744B8"/>
    <w:rsid w:val="00974663"/>
    <w:rsid w:val="00983384"/>
    <w:rsid w:val="00983A36"/>
    <w:rsid w:val="00985788"/>
    <w:rsid w:val="00990F45"/>
    <w:rsid w:val="009961FF"/>
    <w:rsid w:val="009A0056"/>
    <w:rsid w:val="009A5F4C"/>
    <w:rsid w:val="009B17A7"/>
    <w:rsid w:val="009C298C"/>
    <w:rsid w:val="009C3FEC"/>
    <w:rsid w:val="009D259E"/>
    <w:rsid w:val="009D4925"/>
    <w:rsid w:val="009D5CA4"/>
    <w:rsid w:val="009D7E17"/>
    <w:rsid w:val="009E7346"/>
    <w:rsid w:val="009F721A"/>
    <w:rsid w:val="009F7650"/>
    <w:rsid w:val="00A12CBE"/>
    <w:rsid w:val="00A13E4D"/>
    <w:rsid w:val="00A1437F"/>
    <w:rsid w:val="00A15E4D"/>
    <w:rsid w:val="00A17A63"/>
    <w:rsid w:val="00A224E3"/>
    <w:rsid w:val="00A30374"/>
    <w:rsid w:val="00A31467"/>
    <w:rsid w:val="00A46CFA"/>
    <w:rsid w:val="00A54018"/>
    <w:rsid w:val="00A73CA2"/>
    <w:rsid w:val="00A82BB2"/>
    <w:rsid w:val="00A848C9"/>
    <w:rsid w:val="00AA1021"/>
    <w:rsid w:val="00AA4EA4"/>
    <w:rsid w:val="00AA757E"/>
    <w:rsid w:val="00AB5468"/>
    <w:rsid w:val="00AC7BE9"/>
    <w:rsid w:val="00AD117E"/>
    <w:rsid w:val="00AD6B83"/>
    <w:rsid w:val="00AE3CC7"/>
    <w:rsid w:val="00AF08D7"/>
    <w:rsid w:val="00AF5FDA"/>
    <w:rsid w:val="00B00858"/>
    <w:rsid w:val="00B00895"/>
    <w:rsid w:val="00B03050"/>
    <w:rsid w:val="00B07A76"/>
    <w:rsid w:val="00B1213B"/>
    <w:rsid w:val="00B2134B"/>
    <w:rsid w:val="00B25C56"/>
    <w:rsid w:val="00B364E6"/>
    <w:rsid w:val="00B62EE0"/>
    <w:rsid w:val="00B64724"/>
    <w:rsid w:val="00B652F5"/>
    <w:rsid w:val="00B674B6"/>
    <w:rsid w:val="00B6771A"/>
    <w:rsid w:val="00B71869"/>
    <w:rsid w:val="00B86536"/>
    <w:rsid w:val="00B902D6"/>
    <w:rsid w:val="00B927F9"/>
    <w:rsid w:val="00B93619"/>
    <w:rsid w:val="00B95DB3"/>
    <w:rsid w:val="00BA5597"/>
    <w:rsid w:val="00BA775E"/>
    <w:rsid w:val="00BB4331"/>
    <w:rsid w:val="00BB720D"/>
    <w:rsid w:val="00BB7D3C"/>
    <w:rsid w:val="00BC3075"/>
    <w:rsid w:val="00BC324F"/>
    <w:rsid w:val="00BC5F77"/>
    <w:rsid w:val="00BC6A61"/>
    <w:rsid w:val="00BD428F"/>
    <w:rsid w:val="00BD4EA5"/>
    <w:rsid w:val="00BE2F9D"/>
    <w:rsid w:val="00BE5D1E"/>
    <w:rsid w:val="00BF2B36"/>
    <w:rsid w:val="00C05A75"/>
    <w:rsid w:val="00C06FA1"/>
    <w:rsid w:val="00C22C0B"/>
    <w:rsid w:val="00C23DF9"/>
    <w:rsid w:val="00C33DA7"/>
    <w:rsid w:val="00C35A82"/>
    <w:rsid w:val="00C42010"/>
    <w:rsid w:val="00C43567"/>
    <w:rsid w:val="00C45E20"/>
    <w:rsid w:val="00C51F60"/>
    <w:rsid w:val="00C5304B"/>
    <w:rsid w:val="00C6028A"/>
    <w:rsid w:val="00C62D29"/>
    <w:rsid w:val="00C64357"/>
    <w:rsid w:val="00C645AB"/>
    <w:rsid w:val="00C66050"/>
    <w:rsid w:val="00C676B3"/>
    <w:rsid w:val="00C80A1D"/>
    <w:rsid w:val="00C83950"/>
    <w:rsid w:val="00C83C51"/>
    <w:rsid w:val="00C84936"/>
    <w:rsid w:val="00C91659"/>
    <w:rsid w:val="00CA364A"/>
    <w:rsid w:val="00CA6705"/>
    <w:rsid w:val="00CA6D5A"/>
    <w:rsid w:val="00CB00D2"/>
    <w:rsid w:val="00CB110E"/>
    <w:rsid w:val="00CB450B"/>
    <w:rsid w:val="00CC1784"/>
    <w:rsid w:val="00CC260F"/>
    <w:rsid w:val="00CC6014"/>
    <w:rsid w:val="00CC7D14"/>
    <w:rsid w:val="00CD1898"/>
    <w:rsid w:val="00CD1AD8"/>
    <w:rsid w:val="00CD1F1A"/>
    <w:rsid w:val="00CD76D0"/>
    <w:rsid w:val="00CE0376"/>
    <w:rsid w:val="00CE420D"/>
    <w:rsid w:val="00CE5AE7"/>
    <w:rsid w:val="00CF1A8F"/>
    <w:rsid w:val="00CF6FAB"/>
    <w:rsid w:val="00D10CE8"/>
    <w:rsid w:val="00D133DC"/>
    <w:rsid w:val="00D230CD"/>
    <w:rsid w:val="00D23B26"/>
    <w:rsid w:val="00D26E25"/>
    <w:rsid w:val="00D306C1"/>
    <w:rsid w:val="00D40598"/>
    <w:rsid w:val="00D41BCA"/>
    <w:rsid w:val="00D42117"/>
    <w:rsid w:val="00D53F09"/>
    <w:rsid w:val="00D5473C"/>
    <w:rsid w:val="00D574EB"/>
    <w:rsid w:val="00D65CEE"/>
    <w:rsid w:val="00D66B40"/>
    <w:rsid w:val="00D70D89"/>
    <w:rsid w:val="00D75F9A"/>
    <w:rsid w:val="00D82B53"/>
    <w:rsid w:val="00D85FB8"/>
    <w:rsid w:val="00D9033E"/>
    <w:rsid w:val="00D9429E"/>
    <w:rsid w:val="00D95A1E"/>
    <w:rsid w:val="00DA34DA"/>
    <w:rsid w:val="00DA6F6D"/>
    <w:rsid w:val="00DA7471"/>
    <w:rsid w:val="00DB1CF6"/>
    <w:rsid w:val="00DB230B"/>
    <w:rsid w:val="00DB2A7E"/>
    <w:rsid w:val="00DB4AFE"/>
    <w:rsid w:val="00DB4F54"/>
    <w:rsid w:val="00DB679E"/>
    <w:rsid w:val="00DC0A38"/>
    <w:rsid w:val="00DD0C8D"/>
    <w:rsid w:val="00DD2E37"/>
    <w:rsid w:val="00DE039C"/>
    <w:rsid w:val="00DE0776"/>
    <w:rsid w:val="00DE2AE5"/>
    <w:rsid w:val="00DF03E7"/>
    <w:rsid w:val="00DF07EB"/>
    <w:rsid w:val="00DF1A04"/>
    <w:rsid w:val="00E03091"/>
    <w:rsid w:val="00E066AD"/>
    <w:rsid w:val="00E1308F"/>
    <w:rsid w:val="00E20FD3"/>
    <w:rsid w:val="00E27C65"/>
    <w:rsid w:val="00E31014"/>
    <w:rsid w:val="00E508D3"/>
    <w:rsid w:val="00E60F22"/>
    <w:rsid w:val="00E73B51"/>
    <w:rsid w:val="00E74917"/>
    <w:rsid w:val="00E82E69"/>
    <w:rsid w:val="00E83C82"/>
    <w:rsid w:val="00E87F65"/>
    <w:rsid w:val="00E9218D"/>
    <w:rsid w:val="00E94B91"/>
    <w:rsid w:val="00EA1A5F"/>
    <w:rsid w:val="00EA4638"/>
    <w:rsid w:val="00EA505B"/>
    <w:rsid w:val="00EA6A86"/>
    <w:rsid w:val="00EA7D36"/>
    <w:rsid w:val="00EB099B"/>
    <w:rsid w:val="00EB29A1"/>
    <w:rsid w:val="00EB2A66"/>
    <w:rsid w:val="00EB6C07"/>
    <w:rsid w:val="00EC3F2F"/>
    <w:rsid w:val="00ED3E6F"/>
    <w:rsid w:val="00ED4FD5"/>
    <w:rsid w:val="00ED5B7C"/>
    <w:rsid w:val="00ED7EA5"/>
    <w:rsid w:val="00EE03B8"/>
    <w:rsid w:val="00EE0855"/>
    <w:rsid w:val="00EE1794"/>
    <w:rsid w:val="00EE2449"/>
    <w:rsid w:val="00EF1165"/>
    <w:rsid w:val="00EF170C"/>
    <w:rsid w:val="00EF221D"/>
    <w:rsid w:val="00EF28EC"/>
    <w:rsid w:val="00F00ECC"/>
    <w:rsid w:val="00F02E22"/>
    <w:rsid w:val="00F079F0"/>
    <w:rsid w:val="00F232F1"/>
    <w:rsid w:val="00F363C6"/>
    <w:rsid w:val="00F504B6"/>
    <w:rsid w:val="00F52EC3"/>
    <w:rsid w:val="00F56D1D"/>
    <w:rsid w:val="00F62F82"/>
    <w:rsid w:val="00F67BB5"/>
    <w:rsid w:val="00F70B1C"/>
    <w:rsid w:val="00F7270C"/>
    <w:rsid w:val="00F72D72"/>
    <w:rsid w:val="00F81177"/>
    <w:rsid w:val="00F82A03"/>
    <w:rsid w:val="00F83131"/>
    <w:rsid w:val="00F8678C"/>
    <w:rsid w:val="00F91F92"/>
    <w:rsid w:val="00F9413E"/>
    <w:rsid w:val="00FB242D"/>
    <w:rsid w:val="00FB518B"/>
    <w:rsid w:val="00FC0F98"/>
    <w:rsid w:val="00FC294E"/>
    <w:rsid w:val="00FC70BD"/>
    <w:rsid w:val="00FD1454"/>
    <w:rsid w:val="00FD5A42"/>
    <w:rsid w:val="00FD6D50"/>
    <w:rsid w:val="00FE203C"/>
    <w:rsid w:val="00FE5582"/>
    <w:rsid w:val="00FE7305"/>
    <w:rsid w:val="00FE7DAE"/>
    <w:rsid w:val="00FF25E5"/>
    <w:rsid w:val="00FF2A04"/>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CF42"/>
  <w15:docId w15:val="{EC74B2BB-EDD1-4649-8D54-102F83CA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748"/>
    <w:rPr>
      <w:rFonts w:ascii="Times New Roman" w:eastAsia="MS Mincho" w:hAnsi="Times New Roman"/>
      <w:sz w:val="24"/>
      <w:szCs w:val="24"/>
      <w:lang w:eastAsia="ja-JP"/>
    </w:rPr>
  </w:style>
  <w:style w:type="paragraph" w:styleId="Heading1">
    <w:name w:val="heading 1"/>
    <w:basedOn w:val="Normal"/>
    <w:link w:val="Heading1Char"/>
    <w:uiPriority w:val="9"/>
    <w:qFormat/>
    <w:rsid w:val="00257748"/>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748"/>
    <w:rPr>
      <w:rFonts w:ascii="Times New Roman" w:eastAsia="Times New Roman" w:hAnsi="Times New Roman"/>
      <w:b/>
      <w:bCs/>
      <w:kern w:val="36"/>
      <w:sz w:val="48"/>
      <w:szCs w:val="48"/>
    </w:rPr>
  </w:style>
  <w:style w:type="paragraph" w:styleId="FootnoteText">
    <w:name w:val="footnote text"/>
    <w:basedOn w:val="Normal"/>
    <w:link w:val="FootnoteTextChar"/>
    <w:uiPriority w:val="99"/>
    <w:semiHidden/>
    <w:unhideWhenUsed/>
    <w:rsid w:val="00886F2D"/>
    <w:rPr>
      <w:sz w:val="20"/>
      <w:szCs w:val="20"/>
    </w:rPr>
  </w:style>
  <w:style w:type="character" w:customStyle="1" w:styleId="FootnoteTextChar">
    <w:name w:val="Footnote Text Char"/>
    <w:basedOn w:val="DefaultParagraphFont"/>
    <w:link w:val="FootnoteText"/>
    <w:uiPriority w:val="99"/>
    <w:semiHidden/>
    <w:rsid w:val="00886F2D"/>
    <w:rPr>
      <w:rFonts w:ascii="Times New Roman" w:eastAsia="MS Mincho" w:hAnsi="Times New Roman"/>
      <w:lang w:eastAsia="ja-JP"/>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R"/>
    <w:basedOn w:val="DefaultParagraphFont"/>
    <w:uiPriority w:val="99"/>
    <w:semiHidden/>
    <w:unhideWhenUsed/>
    <w:qFormat/>
    <w:rsid w:val="00886F2D"/>
    <w:rPr>
      <w:vertAlign w:val="superscript"/>
    </w:rPr>
  </w:style>
  <w:style w:type="character" w:customStyle="1" w:styleId="citation">
    <w:name w:val="citation"/>
    <w:basedOn w:val="DefaultParagraphFont"/>
    <w:rsid w:val="001B7D86"/>
  </w:style>
  <w:style w:type="paragraph" w:styleId="NormalWeb">
    <w:name w:val="Normal (Web)"/>
    <w:basedOn w:val="Normal"/>
    <w:uiPriority w:val="99"/>
    <w:semiHidden/>
    <w:unhideWhenUsed/>
    <w:rsid w:val="007C120B"/>
    <w:pPr>
      <w:spacing w:before="100" w:beforeAutospacing="1" w:after="100" w:afterAutospacing="1"/>
    </w:pPr>
    <w:rPr>
      <w:rFonts w:eastAsia="Times New Roman"/>
      <w:lang w:eastAsia="en-US"/>
    </w:rPr>
  </w:style>
  <w:style w:type="character" w:styleId="Strong">
    <w:name w:val="Strong"/>
    <w:uiPriority w:val="22"/>
    <w:qFormat/>
    <w:rsid w:val="00D133DC"/>
    <w:rPr>
      <w:b/>
      <w:bCs/>
    </w:rPr>
  </w:style>
  <w:style w:type="paragraph" w:styleId="BalloonText">
    <w:name w:val="Balloon Text"/>
    <w:basedOn w:val="Normal"/>
    <w:link w:val="BalloonTextChar"/>
    <w:uiPriority w:val="99"/>
    <w:semiHidden/>
    <w:unhideWhenUsed/>
    <w:rsid w:val="00470A06"/>
    <w:rPr>
      <w:rFonts w:ascii="Tahoma" w:hAnsi="Tahoma" w:cs="Tahoma"/>
      <w:sz w:val="16"/>
      <w:szCs w:val="16"/>
    </w:rPr>
  </w:style>
  <w:style w:type="character" w:customStyle="1" w:styleId="BalloonTextChar">
    <w:name w:val="Balloon Text Char"/>
    <w:basedOn w:val="DefaultParagraphFont"/>
    <w:link w:val="BalloonText"/>
    <w:uiPriority w:val="99"/>
    <w:semiHidden/>
    <w:rsid w:val="00470A06"/>
    <w:rPr>
      <w:rFonts w:ascii="Tahoma" w:eastAsia="MS Mincho" w:hAnsi="Tahoma" w:cs="Tahoma"/>
      <w:sz w:val="16"/>
      <w:szCs w:val="16"/>
      <w:lang w:eastAsia="ja-JP"/>
    </w:rPr>
  </w:style>
  <w:style w:type="character" w:customStyle="1" w:styleId="pbody">
    <w:name w:val="pbody"/>
    <w:basedOn w:val="DefaultParagraphFont"/>
    <w:rsid w:val="003E664C"/>
  </w:style>
  <w:style w:type="paragraph" w:customStyle="1" w:styleId="Normal1">
    <w:name w:val="Normal1"/>
    <w:basedOn w:val="Normal"/>
    <w:rsid w:val="00415208"/>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415208"/>
  </w:style>
  <w:style w:type="paragraph" w:styleId="ListParagraph">
    <w:name w:val="List Paragraph"/>
    <w:basedOn w:val="Normal"/>
    <w:uiPriority w:val="34"/>
    <w:qFormat/>
    <w:rsid w:val="003973DA"/>
    <w:pPr>
      <w:spacing w:before="200" w:after="200" w:line="276" w:lineRule="auto"/>
      <w:ind w:left="720"/>
      <w:contextualSpacing/>
    </w:pPr>
    <w:rPr>
      <w:rFonts w:ascii="Calibri" w:eastAsia="Times New Roman" w:hAnsi="Calibri"/>
      <w:sz w:val="20"/>
      <w:szCs w:val="20"/>
      <w:lang w:eastAsia="en-US" w:bidi="en-US"/>
    </w:rPr>
  </w:style>
  <w:style w:type="character" w:customStyle="1" w:styleId="content">
    <w:name w:val="content"/>
    <w:basedOn w:val="DefaultParagraphFont"/>
    <w:rsid w:val="003973DA"/>
  </w:style>
  <w:style w:type="paragraph" w:styleId="Header">
    <w:name w:val="header"/>
    <w:basedOn w:val="Normal"/>
    <w:link w:val="HeaderChar"/>
    <w:uiPriority w:val="99"/>
    <w:semiHidden/>
    <w:unhideWhenUsed/>
    <w:rsid w:val="005D2E98"/>
    <w:pPr>
      <w:tabs>
        <w:tab w:val="center" w:pos="4680"/>
        <w:tab w:val="right" w:pos="9360"/>
      </w:tabs>
    </w:pPr>
  </w:style>
  <w:style w:type="character" w:customStyle="1" w:styleId="HeaderChar">
    <w:name w:val="Header Char"/>
    <w:basedOn w:val="DefaultParagraphFont"/>
    <w:link w:val="Header"/>
    <w:uiPriority w:val="99"/>
    <w:semiHidden/>
    <w:rsid w:val="005D2E98"/>
    <w:rPr>
      <w:rFonts w:ascii="Times New Roman" w:eastAsia="MS Mincho" w:hAnsi="Times New Roman"/>
      <w:sz w:val="24"/>
      <w:szCs w:val="24"/>
      <w:lang w:eastAsia="ja-JP"/>
    </w:rPr>
  </w:style>
  <w:style w:type="paragraph" w:styleId="Footer">
    <w:name w:val="footer"/>
    <w:basedOn w:val="Normal"/>
    <w:link w:val="FooterChar"/>
    <w:uiPriority w:val="99"/>
    <w:unhideWhenUsed/>
    <w:rsid w:val="005D2E98"/>
    <w:pPr>
      <w:tabs>
        <w:tab w:val="center" w:pos="4680"/>
        <w:tab w:val="right" w:pos="9360"/>
      </w:tabs>
    </w:pPr>
  </w:style>
  <w:style w:type="character" w:customStyle="1" w:styleId="FooterChar">
    <w:name w:val="Footer Char"/>
    <w:basedOn w:val="DefaultParagraphFont"/>
    <w:link w:val="Footer"/>
    <w:uiPriority w:val="99"/>
    <w:rsid w:val="005D2E98"/>
    <w:rPr>
      <w:rFonts w:ascii="Times New Roman" w:eastAsia="MS Mincho" w:hAnsi="Times New Roman"/>
      <w:sz w:val="24"/>
      <w:szCs w:val="24"/>
      <w:lang w:eastAsia="ja-JP"/>
    </w:rPr>
  </w:style>
  <w:style w:type="character" w:styleId="Hyperlink">
    <w:name w:val="Hyperlink"/>
    <w:basedOn w:val="DefaultParagraphFont"/>
    <w:uiPriority w:val="99"/>
    <w:unhideWhenUsed/>
    <w:rsid w:val="00B25C56"/>
    <w:rPr>
      <w:color w:val="0000FF" w:themeColor="hyperlink"/>
      <w:u w:val="single"/>
    </w:rPr>
  </w:style>
  <w:style w:type="table" w:customStyle="1" w:styleId="TableGrid1">
    <w:name w:val="Table Grid1"/>
    <w:basedOn w:val="TableNormal"/>
    <w:next w:val="TableGrid"/>
    <w:uiPriority w:val="39"/>
    <w:rsid w:val="005D41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D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83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08204">
      <w:bodyDiv w:val="1"/>
      <w:marLeft w:val="0"/>
      <w:marRight w:val="0"/>
      <w:marTop w:val="0"/>
      <w:marBottom w:val="0"/>
      <w:divBdr>
        <w:top w:val="none" w:sz="0" w:space="0" w:color="auto"/>
        <w:left w:val="none" w:sz="0" w:space="0" w:color="auto"/>
        <w:bottom w:val="none" w:sz="0" w:space="0" w:color="auto"/>
        <w:right w:val="none" w:sz="0" w:space="0" w:color="auto"/>
      </w:divBdr>
    </w:div>
    <w:div w:id="721290166">
      <w:bodyDiv w:val="1"/>
      <w:marLeft w:val="0"/>
      <w:marRight w:val="0"/>
      <w:marTop w:val="0"/>
      <w:marBottom w:val="0"/>
      <w:divBdr>
        <w:top w:val="none" w:sz="0" w:space="0" w:color="auto"/>
        <w:left w:val="none" w:sz="0" w:space="0" w:color="auto"/>
        <w:bottom w:val="none" w:sz="0" w:space="0" w:color="auto"/>
        <w:right w:val="none" w:sz="0" w:space="0" w:color="auto"/>
      </w:divBdr>
    </w:div>
    <w:div w:id="728962885">
      <w:bodyDiv w:val="1"/>
      <w:marLeft w:val="0"/>
      <w:marRight w:val="0"/>
      <w:marTop w:val="0"/>
      <w:marBottom w:val="0"/>
      <w:divBdr>
        <w:top w:val="none" w:sz="0" w:space="0" w:color="auto"/>
        <w:left w:val="none" w:sz="0" w:space="0" w:color="auto"/>
        <w:bottom w:val="none" w:sz="0" w:space="0" w:color="auto"/>
        <w:right w:val="none" w:sz="0" w:space="0" w:color="auto"/>
      </w:divBdr>
    </w:div>
    <w:div w:id="990138894">
      <w:bodyDiv w:val="1"/>
      <w:marLeft w:val="0"/>
      <w:marRight w:val="0"/>
      <w:marTop w:val="0"/>
      <w:marBottom w:val="0"/>
      <w:divBdr>
        <w:top w:val="none" w:sz="0" w:space="0" w:color="auto"/>
        <w:left w:val="none" w:sz="0" w:space="0" w:color="auto"/>
        <w:bottom w:val="none" w:sz="0" w:space="0" w:color="auto"/>
        <w:right w:val="none" w:sz="0" w:space="0" w:color="auto"/>
      </w:divBdr>
    </w:div>
    <w:div w:id="1057239582">
      <w:bodyDiv w:val="1"/>
      <w:marLeft w:val="0"/>
      <w:marRight w:val="0"/>
      <w:marTop w:val="0"/>
      <w:marBottom w:val="0"/>
      <w:divBdr>
        <w:top w:val="none" w:sz="0" w:space="0" w:color="auto"/>
        <w:left w:val="none" w:sz="0" w:space="0" w:color="auto"/>
        <w:bottom w:val="none" w:sz="0" w:space="0" w:color="auto"/>
        <w:right w:val="none" w:sz="0" w:space="0" w:color="auto"/>
      </w:divBdr>
    </w:div>
    <w:div w:id="1240168406">
      <w:bodyDiv w:val="1"/>
      <w:marLeft w:val="0"/>
      <w:marRight w:val="0"/>
      <w:marTop w:val="0"/>
      <w:marBottom w:val="0"/>
      <w:divBdr>
        <w:top w:val="none" w:sz="0" w:space="0" w:color="auto"/>
        <w:left w:val="none" w:sz="0" w:space="0" w:color="auto"/>
        <w:bottom w:val="none" w:sz="0" w:space="0" w:color="auto"/>
        <w:right w:val="none" w:sz="0" w:space="0" w:color="auto"/>
      </w:divBdr>
    </w:div>
    <w:div w:id="1799302470">
      <w:bodyDiv w:val="1"/>
      <w:marLeft w:val="0"/>
      <w:marRight w:val="0"/>
      <w:marTop w:val="0"/>
      <w:marBottom w:val="0"/>
      <w:divBdr>
        <w:top w:val="none" w:sz="0" w:space="0" w:color="auto"/>
        <w:left w:val="none" w:sz="0" w:space="0" w:color="auto"/>
        <w:bottom w:val="none" w:sz="0" w:space="0" w:color="auto"/>
        <w:right w:val="none" w:sz="0" w:space="0" w:color="auto"/>
      </w:divBdr>
      <w:divsChild>
        <w:div w:id="625043511">
          <w:marLeft w:val="0"/>
          <w:marRight w:val="0"/>
          <w:marTop w:val="0"/>
          <w:marBottom w:val="0"/>
          <w:divBdr>
            <w:top w:val="none" w:sz="0" w:space="0" w:color="auto"/>
            <w:left w:val="none" w:sz="0" w:space="0" w:color="auto"/>
            <w:bottom w:val="none" w:sz="0" w:space="0" w:color="auto"/>
            <w:right w:val="none" w:sz="0" w:space="0" w:color="auto"/>
          </w:divBdr>
        </w:div>
        <w:div w:id="925113362">
          <w:marLeft w:val="0"/>
          <w:marRight w:val="0"/>
          <w:marTop w:val="0"/>
          <w:marBottom w:val="0"/>
          <w:divBdr>
            <w:top w:val="none" w:sz="0" w:space="0" w:color="auto"/>
            <w:left w:val="none" w:sz="0" w:space="0" w:color="auto"/>
            <w:bottom w:val="none" w:sz="0" w:space="0" w:color="auto"/>
            <w:right w:val="none" w:sz="0" w:space="0" w:color="auto"/>
          </w:divBdr>
        </w:div>
        <w:div w:id="1957714201">
          <w:marLeft w:val="0"/>
          <w:marRight w:val="0"/>
          <w:marTop w:val="0"/>
          <w:marBottom w:val="0"/>
          <w:divBdr>
            <w:top w:val="none" w:sz="0" w:space="0" w:color="auto"/>
            <w:left w:val="none" w:sz="0" w:space="0" w:color="auto"/>
            <w:bottom w:val="none" w:sz="0" w:space="0" w:color="auto"/>
            <w:right w:val="none" w:sz="0" w:space="0" w:color="auto"/>
          </w:divBdr>
        </w:div>
        <w:div w:id="628320784">
          <w:marLeft w:val="0"/>
          <w:marRight w:val="0"/>
          <w:marTop w:val="0"/>
          <w:marBottom w:val="0"/>
          <w:divBdr>
            <w:top w:val="none" w:sz="0" w:space="0" w:color="auto"/>
            <w:left w:val="none" w:sz="0" w:space="0" w:color="auto"/>
            <w:bottom w:val="none" w:sz="0" w:space="0" w:color="auto"/>
            <w:right w:val="none" w:sz="0" w:space="0" w:color="auto"/>
          </w:divBdr>
        </w:div>
        <w:div w:id="89861116">
          <w:marLeft w:val="0"/>
          <w:marRight w:val="0"/>
          <w:marTop w:val="0"/>
          <w:marBottom w:val="0"/>
          <w:divBdr>
            <w:top w:val="none" w:sz="0" w:space="0" w:color="auto"/>
            <w:left w:val="none" w:sz="0" w:space="0" w:color="auto"/>
            <w:bottom w:val="none" w:sz="0" w:space="0" w:color="auto"/>
            <w:right w:val="none" w:sz="0" w:space="0" w:color="auto"/>
          </w:divBdr>
        </w:div>
        <w:div w:id="42561127">
          <w:marLeft w:val="0"/>
          <w:marRight w:val="0"/>
          <w:marTop w:val="0"/>
          <w:marBottom w:val="0"/>
          <w:divBdr>
            <w:top w:val="none" w:sz="0" w:space="0" w:color="auto"/>
            <w:left w:val="none" w:sz="0" w:space="0" w:color="auto"/>
            <w:bottom w:val="none" w:sz="0" w:space="0" w:color="auto"/>
            <w:right w:val="none" w:sz="0" w:space="0" w:color="auto"/>
          </w:divBdr>
        </w:div>
        <w:div w:id="2099788162">
          <w:marLeft w:val="0"/>
          <w:marRight w:val="0"/>
          <w:marTop w:val="0"/>
          <w:marBottom w:val="0"/>
          <w:divBdr>
            <w:top w:val="none" w:sz="0" w:space="0" w:color="auto"/>
            <w:left w:val="none" w:sz="0" w:space="0" w:color="auto"/>
            <w:bottom w:val="none" w:sz="0" w:space="0" w:color="auto"/>
            <w:right w:val="none" w:sz="0" w:space="0" w:color="auto"/>
          </w:divBdr>
        </w:div>
        <w:div w:id="1504591004">
          <w:marLeft w:val="0"/>
          <w:marRight w:val="0"/>
          <w:marTop w:val="0"/>
          <w:marBottom w:val="0"/>
          <w:divBdr>
            <w:top w:val="none" w:sz="0" w:space="0" w:color="auto"/>
            <w:left w:val="none" w:sz="0" w:space="0" w:color="auto"/>
            <w:bottom w:val="none" w:sz="0" w:space="0" w:color="auto"/>
            <w:right w:val="none" w:sz="0" w:space="0" w:color="auto"/>
          </w:divBdr>
        </w:div>
        <w:div w:id="905993578">
          <w:marLeft w:val="0"/>
          <w:marRight w:val="0"/>
          <w:marTop w:val="0"/>
          <w:marBottom w:val="0"/>
          <w:divBdr>
            <w:top w:val="none" w:sz="0" w:space="0" w:color="auto"/>
            <w:left w:val="none" w:sz="0" w:space="0" w:color="auto"/>
            <w:bottom w:val="none" w:sz="0" w:space="0" w:color="auto"/>
            <w:right w:val="none" w:sz="0" w:space="0" w:color="auto"/>
          </w:divBdr>
        </w:div>
        <w:div w:id="1066343532">
          <w:marLeft w:val="0"/>
          <w:marRight w:val="0"/>
          <w:marTop w:val="0"/>
          <w:marBottom w:val="0"/>
          <w:divBdr>
            <w:top w:val="none" w:sz="0" w:space="0" w:color="auto"/>
            <w:left w:val="none" w:sz="0" w:space="0" w:color="auto"/>
            <w:bottom w:val="none" w:sz="0" w:space="0" w:color="auto"/>
            <w:right w:val="none" w:sz="0" w:space="0" w:color="auto"/>
          </w:divBdr>
        </w:div>
        <w:div w:id="2092503194">
          <w:marLeft w:val="0"/>
          <w:marRight w:val="0"/>
          <w:marTop w:val="0"/>
          <w:marBottom w:val="0"/>
          <w:divBdr>
            <w:top w:val="none" w:sz="0" w:space="0" w:color="auto"/>
            <w:left w:val="none" w:sz="0" w:space="0" w:color="auto"/>
            <w:bottom w:val="none" w:sz="0" w:space="0" w:color="auto"/>
            <w:right w:val="none" w:sz="0" w:space="0" w:color="auto"/>
          </w:divBdr>
        </w:div>
        <w:div w:id="1807240609">
          <w:marLeft w:val="0"/>
          <w:marRight w:val="0"/>
          <w:marTop w:val="0"/>
          <w:marBottom w:val="0"/>
          <w:divBdr>
            <w:top w:val="none" w:sz="0" w:space="0" w:color="auto"/>
            <w:left w:val="none" w:sz="0" w:space="0" w:color="auto"/>
            <w:bottom w:val="none" w:sz="0" w:space="0" w:color="auto"/>
            <w:right w:val="none" w:sz="0" w:space="0" w:color="auto"/>
          </w:divBdr>
        </w:div>
        <w:div w:id="1195001159">
          <w:marLeft w:val="0"/>
          <w:marRight w:val="0"/>
          <w:marTop w:val="0"/>
          <w:marBottom w:val="0"/>
          <w:divBdr>
            <w:top w:val="none" w:sz="0" w:space="0" w:color="auto"/>
            <w:left w:val="none" w:sz="0" w:space="0" w:color="auto"/>
            <w:bottom w:val="none" w:sz="0" w:space="0" w:color="auto"/>
            <w:right w:val="none" w:sz="0" w:space="0" w:color="auto"/>
          </w:divBdr>
        </w:div>
        <w:div w:id="1258899990">
          <w:marLeft w:val="0"/>
          <w:marRight w:val="0"/>
          <w:marTop w:val="0"/>
          <w:marBottom w:val="0"/>
          <w:divBdr>
            <w:top w:val="none" w:sz="0" w:space="0" w:color="auto"/>
            <w:left w:val="none" w:sz="0" w:space="0" w:color="auto"/>
            <w:bottom w:val="none" w:sz="0" w:space="0" w:color="auto"/>
            <w:right w:val="none" w:sz="0" w:space="0" w:color="auto"/>
          </w:divBdr>
        </w:div>
        <w:div w:id="1572158390">
          <w:marLeft w:val="0"/>
          <w:marRight w:val="0"/>
          <w:marTop w:val="0"/>
          <w:marBottom w:val="0"/>
          <w:divBdr>
            <w:top w:val="none" w:sz="0" w:space="0" w:color="auto"/>
            <w:left w:val="none" w:sz="0" w:space="0" w:color="auto"/>
            <w:bottom w:val="none" w:sz="0" w:space="0" w:color="auto"/>
            <w:right w:val="none" w:sz="0" w:space="0" w:color="auto"/>
          </w:divBdr>
        </w:div>
        <w:div w:id="1076240527">
          <w:marLeft w:val="0"/>
          <w:marRight w:val="0"/>
          <w:marTop w:val="0"/>
          <w:marBottom w:val="0"/>
          <w:divBdr>
            <w:top w:val="none" w:sz="0" w:space="0" w:color="auto"/>
            <w:left w:val="none" w:sz="0" w:space="0" w:color="auto"/>
            <w:bottom w:val="none" w:sz="0" w:space="0" w:color="auto"/>
            <w:right w:val="none" w:sz="0" w:space="0" w:color="auto"/>
          </w:divBdr>
        </w:div>
        <w:div w:id="548341137">
          <w:marLeft w:val="0"/>
          <w:marRight w:val="0"/>
          <w:marTop w:val="0"/>
          <w:marBottom w:val="0"/>
          <w:divBdr>
            <w:top w:val="none" w:sz="0" w:space="0" w:color="auto"/>
            <w:left w:val="none" w:sz="0" w:space="0" w:color="auto"/>
            <w:bottom w:val="none" w:sz="0" w:space="0" w:color="auto"/>
            <w:right w:val="none" w:sz="0" w:space="0" w:color="auto"/>
          </w:divBdr>
        </w:div>
        <w:div w:id="646250950">
          <w:marLeft w:val="0"/>
          <w:marRight w:val="0"/>
          <w:marTop w:val="0"/>
          <w:marBottom w:val="0"/>
          <w:divBdr>
            <w:top w:val="none" w:sz="0" w:space="0" w:color="auto"/>
            <w:left w:val="none" w:sz="0" w:space="0" w:color="auto"/>
            <w:bottom w:val="none" w:sz="0" w:space="0" w:color="auto"/>
            <w:right w:val="none" w:sz="0" w:space="0" w:color="auto"/>
          </w:divBdr>
        </w:div>
        <w:div w:id="238566943">
          <w:marLeft w:val="0"/>
          <w:marRight w:val="0"/>
          <w:marTop w:val="0"/>
          <w:marBottom w:val="0"/>
          <w:divBdr>
            <w:top w:val="none" w:sz="0" w:space="0" w:color="auto"/>
            <w:left w:val="none" w:sz="0" w:space="0" w:color="auto"/>
            <w:bottom w:val="none" w:sz="0" w:space="0" w:color="auto"/>
            <w:right w:val="none" w:sz="0" w:space="0" w:color="auto"/>
          </w:divBdr>
        </w:div>
        <w:div w:id="1372925983">
          <w:marLeft w:val="0"/>
          <w:marRight w:val="0"/>
          <w:marTop w:val="0"/>
          <w:marBottom w:val="0"/>
          <w:divBdr>
            <w:top w:val="none" w:sz="0" w:space="0" w:color="auto"/>
            <w:left w:val="none" w:sz="0" w:space="0" w:color="auto"/>
            <w:bottom w:val="none" w:sz="0" w:space="0" w:color="auto"/>
            <w:right w:val="none" w:sz="0" w:space="0" w:color="auto"/>
          </w:divBdr>
        </w:div>
        <w:div w:id="1001736426">
          <w:marLeft w:val="0"/>
          <w:marRight w:val="0"/>
          <w:marTop w:val="0"/>
          <w:marBottom w:val="0"/>
          <w:divBdr>
            <w:top w:val="none" w:sz="0" w:space="0" w:color="auto"/>
            <w:left w:val="none" w:sz="0" w:space="0" w:color="auto"/>
            <w:bottom w:val="none" w:sz="0" w:space="0" w:color="auto"/>
            <w:right w:val="none" w:sz="0" w:space="0" w:color="auto"/>
          </w:divBdr>
        </w:div>
        <w:div w:id="1159225339">
          <w:marLeft w:val="0"/>
          <w:marRight w:val="0"/>
          <w:marTop w:val="0"/>
          <w:marBottom w:val="0"/>
          <w:divBdr>
            <w:top w:val="none" w:sz="0" w:space="0" w:color="auto"/>
            <w:left w:val="none" w:sz="0" w:space="0" w:color="auto"/>
            <w:bottom w:val="none" w:sz="0" w:space="0" w:color="auto"/>
            <w:right w:val="none" w:sz="0" w:space="0" w:color="auto"/>
          </w:divBdr>
        </w:div>
        <w:div w:id="1348754489">
          <w:marLeft w:val="0"/>
          <w:marRight w:val="0"/>
          <w:marTop w:val="0"/>
          <w:marBottom w:val="0"/>
          <w:divBdr>
            <w:top w:val="none" w:sz="0" w:space="0" w:color="auto"/>
            <w:left w:val="none" w:sz="0" w:space="0" w:color="auto"/>
            <w:bottom w:val="none" w:sz="0" w:space="0" w:color="auto"/>
            <w:right w:val="none" w:sz="0" w:space="0" w:color="auto"/>
          </w:divBdr>
        </w:div>
        <w:div w:id="214121544">
          <w:marLeft w:val="0"/>
          <w:marRight w:val="0"/>
          <w:marTop w:val="0"/>
          <w:marBottom w:val="0"/>
          <w:divBdr>
            <w:top w:val="none" w:sz="0" w:space="0" w:color="auto"/>
            <w:left w:val="none" w:sz="0" w:space="0" w:color="auto"/>
            <w:bottom w:val="none" w:sz="0" w:space="0" w:color="auto"/>
            <w:right w:val="none" w:sz="0" w:space="0" w:color="auto"/>
          </w:divBdr>
        </w:div>
        <w:div w:id="811605895">
          <w:marLeft w:val="0"/>
          <w:marRight w:val="0"/>
          <w:marTop w:val="0"/>
          <w:marBottom w:val="0"/>
          <w:divBdr>
            <w:top w:val="none" w:sz="0" w:space="0" w:color="auto"/>
            <w:left w:val="none" w:sz="0" w:space="0" w:color="auto"/>
            <w:bottom w:val="none" w:sz="0" w:space="0" w:color="auto"/>
            <w:right w:val="none" w:sz="0" w:space="0" w:color="auto"/>
          </w:divBdr>
        </w:div>
        <w:div w:id="513154844">
          <w:marLeft w:val="0"/>
          <w:marRight w:val="0"/>
          <w:marTop w:val="0"/>
          <w:marBottom w:val="0"/>
          <w:divBdr>
            <w:top w:val="none" w:sz="0" w:space="0" w:color="auto"/>
            <w:left w:val="none" w:sz="0" w:space="0" w:color="auto"/>
            <w:bottom w:val="none" w:sz="0" w:space="0" w:color="auto"/>
            <w:right w:val="none" w:sz="0" w:space="0" w:color="auto"/>
          </w:divBdr>
        </w:div>
        <w:div w:id="361201219">
          <w:marLeft w:val="0"/>
          <w:marRight w:val="0"/>
          <w:marTop w:val="0"/>
          <w:marBottom w:val="0"/>
          <w:divBdr>
            <w:top w:val="none" w:sz="0" w:space="0" w:color="auto"/>
            <w:left w:val="none" w:sz="0" w:space="0" w:color="auto"/>
            <w:bottom w:val="none" w:sz="0" w:space="0" w:color="auto"/>
            <w:right w:val="none" w:sz="0" w:space="0" w:color="auto"/>
          </w:divBdr>
        </w:div>
        <w:div w:id="1810511541">
          <w:marLeft w:val="0"/>
          <w:marRight w:val="0"/>
          <w:marTop w:val="0"/>
          <w:marBottom w:val="0"/>
          <w:divBdr>
            <w:top w:val="none" w:sz="0" w:space="0" w:color="auto"/>
            <w:left w:val="none" w:sz="0" w:space="0" w:color="auto"/>
            <w:bottom w:val="none" w:sz="0" w:space="0" w:color="auto"/>
            <w:right w:val="none" w:sz="0" w:space="0" w:color="auto"/>
          </w:divBdr>
        </w:div>
        <w:div w:id="1323004942">
          <w:marLeft w:val="0"/>
          <w:marRight w:val="0"/>
          <w:marTop w:val="0"/>
          <w:marBottom w:val="0"/>
          <w:divBdr>
            <w:top w:val="none" w:sz="0" w:space="0" w:color="auto"/>
            <w:left w:val="none" w:sz="0" w:space="0" w:color="auto"/>
            <w:bottom w:val="none" w:sz="0" w:space="0" w:color="auto"/>
            <w:right w:val="none" w:sz="0" w:space="0" w:color="auto"/>
          </w:divBdr>
        </w:div>
      </w:divsChild>
    </w:div>
    <w:div w:id="1953629833">
      <w:bodyDiv w:val="1"/>
      <w:marLeft w:val="0"/>
      <w:marRight w:val="0"/>
      <w:marTop w:val="0"/>
      <w:marBottom w:val="0"/>
      <w:divBdr>
        <w:top w:val="none" w:sz="0" w:space="0" w:color="auto"/>
        <w:left w:val="none" w:sz="0" w:space="0" w:color="auto"/>
        <w:bottom w:val="none" w:sz="0" w:space="0" w:color="auto"/>
        <w:right w:val="none" w:sz="0" w:space="0" w:color="auto"/>
      </w:divBdr>
    </w:div>
    <w:div w:id="19545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G:\solieuTK_VN\NSNN\NSNN_SosanhDTQT_09.2022.xlsx" TargetMode="External"/><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G:\solieuTK_VN\NSNN\NSNN_SosanhDTQT_09.2022.xlsx" TargetMode="External"/><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solieuTK_VN\NSNN\Data_Tonghop_NSNN.08.2023.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J:\Du%20an_tu_2021\UBKT_Dien%20dan%20KT%202021\Tien%20te_No%20cong_baiH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Tỷ lệ thu nội địa/Dự toán năm</c:v>
          </c:tx>
          <c:spPr>
            <a:blipFill>
              <a:blip xmlns:r="http://schemas.openxmlformats.org/officeDocument/2006/relationships" r:embed="rId2"/>
              <a:tile tx="0" ty="0" sx="100000" sy="100000" flip="none" algn="tl"/>
            </a:blipFill>
            <a:ln>
              <a:prstDash val="sysDot"/>
            </a:ln>
          </c:spPr>
          <c:invertIfNegative val="0"/>
          <c:cat>
            <c:numRef>
              <c:f>'Thu_Chi QT_09-22'!$AF$2:$AW$2</c:f>
              <c:numCache>
                <c:formatCode>General</c:formatCod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numCache>
            </c:numRef>
          </c:cat>
          <c:val>
            <c:numRef>
              <c:f>'Thu_Chi QT_09-22'!$AF$14:$AW$14</c:f>
              <c:numCache>
                <c:formatCode>0.0</c:formatCode>
                <c:ptCount val="18"/>
                <c:pt idx="0">
                  <c:v>110.15454545454546</c:v>
                </c:pt>
                <c:pt idx="1">
                  <c:v>120.5494071146245</c:v>
                </c:pt>
                <c:pt idx="2">
                  <c:v>126.82303222398309</c:v>
                </c:pt>
                <c:pt idx="3">
                  <c:v>101.47424892703863</c:v>
                </c:pt>
                <c:pt idx="4">
                  <c:v>108.98574821852732</c:v>
                </c:pt>
                <c:pt idx="5">
                  <c:v>117.44188481675393</c:v>
                </c:pt>
                <c:pt idx="6">
                  <c:v>98.453569954601733</c:v>
                </c:pt>
                <c:pt idx="7">
                  <c:v>104.01521539871678</c:v>
                </c:pt>
                <c:pt idx="8">
                  <c:v>99.813840445269022</c:v>
                </c:pt>
                <c:pt idx="9">
                  <c:v>117.3755206481173</c:v>
                </c:pt>
                <c:pt idx="10">
                  <c:v>112.96700636942676</c:v>
                </c:pt>
                <c:pt idx="11">
                  <c:v>104.93920911257422</c:v>
                </c:pt>
                <c:pt idx="12">
                  <c:v>105.09351405439826</c:v>
                </c:pt>
                <c:pt idx="13">
                  <c:v>115.19632233639805</c:v>
                </c:pt>
                <c:pt idx="14">
                  <c:v>102.3438019144055</c:v>
                </c:pt>
                <c:pt idx="15">
                  <c:v>114.5</c:v>
                </c:pt>
                <c:pt idx="16">
                  <c:v>128</c:v>
                </c:pt>
                <c:pt idx="17">
                  <c:v>100</c:v>
                </c:pt>
              </c:numCache>
            </c:numRef>
          </c:val>
          <c:extLst>
            <c:ext xmlns:c16="http://schemas.microsoft.com/office/drawing/2014/chart" uri="{C3380CC4-5D6E-409C-BE32-E72D297353CC}">
              <c16:uniqueId val="{00000000-6123-4883-A5B1-379E25C9E9EF}"/>
            </c:ext>
          </c:extLst>
        </c:ser>
        <c:ser>
          <c:idx val="1"/>
          <c:order val="1"/>
          <c:tx>
            <c:v>Tỷ lệ thu từ dầu thô/Dự toán năm</c:v>
          </c:tx>
          <c:invertIfNegative val="0"/>
          <c:cat>
            <c:numRef>
              <c:f>'Thu_Chi QT_09-22'!$AF$2:$AW$2</c:f>
              <c:numCache>
                <c:formatCode>General</c:formatCod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numCache>
            </c:numRef>
          </c:cat>
          <c:val>
            <c:numRef>
              <c:f>'Thu_Chi QT_09-22'!$AF$13:$AW$13</c:f>
              <c:numCache>
                <c:formatCode>0.0</c:formatCode>
                <c:ptCount val="18"/>
                <c:pt idx="0">
                  <c:v>131.46056782334384</c:v>
                </c:pt>
                <c:pt idx="1">
                  <c:v>109.67085076708507</c:v>
                </c:pt>
                <c:pt idx="2">
                  <c:v>136.58993902439025</c:v>
                </c:pt>
                <c:pt idx="3">
                  <c:v>95.976452119309258</c:v>
                </c:pt>
                <c:pt idx="4">
                  <c:v>104.34238310708899</c:v>
                </c:pt>
                <c:pt idx="5">
                  <c:v>202.17316017316017</c:v>
                </c:pt>
                <c:pt idx="6">
                  <c:v>161.04137931034484</c:v>
                </c:pt>
                <c:pt idx="7">
                  <c:v>121.65252525252525</c:v>
                </c:pt>
                <c:pt idx="8">
                  <c:v>117.46713615023474</c:v>
                </c:pt>
                <c:pt idx="9">
                  <c:v>72.591397849462368</c:v>
                </c:pt>
                <c:pt idx="10">
                  <c:v>73.735779816513755</c:v>
                </c:pt>
                <c:pt idx="11">
                  <c:v>129.45953002610966</c:v>
                </c:pt>
                <c:pt idx="12">
                  <c:v>183.97899273401669</c:v>
                </c:pt>
                <c:pt idx="13">
                  <c:v>126.12331838565022</c:v>
                </c:pt>
                <c:pt idx="14">
                  <c:v>98.289772727272734</c:v>
                </c:pt>
                <c:pt idx="15">
                  <c:v>192.40517241379311</c:v>
                </c:pt>
                <c:pt idx="16">
                  <c:v>276</c:v>
                </c:pt>
                <c:pt idx="17">
                  <c:v>108</c:v>
                </c:pt>
              </c:numCache>
            </c:numRef>
          </c:val>
          <c:extLst>
            <c:ext xmlns:c16="http://schemas.microsoft.com/office/drawing/2014/chart" uri="{C3380CC4-5D6E-409C-BE32-E72D297353CC}">
              <c16:uniqueId val="{00000001-6123-4883-A5B1-379E25C9E9EF}"/>
            </c:ext>
          </c:extLst>
        </c:ser>
        <c:ser>
          <c:idx val="2"/>
          <c:order val="2"/>
          <c:tx>
            <c:v>Tỷ lệ thu từ xuất nhập khẩu/Dự toán năm</c:v>
          </c:tx>
          <c:invertIfNegative val="0"/>
          <c:cat>
            <c:numRef>
              <c:f>'Thu_Chi QT_09-22'!$AF$2:$AW$2</c:f>
              <c:numCache>
                <c:formatCode>General</c:formatCod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numCache>
            </c:numRef>
          </c:cat>
          <c:val>
            <c:numRef>
              <c:f>'Thu_Chi QT_09-22'!$AF$12:$AW$12</c:f>
              <c:numCache>
                <c:formatCode>0.0</c:formatCode>
                <c:ptCount val="18"/>
                <c:pt idx="0">
                  <c:v>107.0625</c:v>
                </c:pt>
                <c:pt idx="1">
                  <c:v>84.061366806136675</c:v>
                </c:pt>
                <c:pt idx="2">
                  <c:v>139.41615853658536</c:v>
                </c:pt>
                <c:pt idx="3">
                  <c:v>165.82260596546311</c:v>
                </c:pt>
                <c:pt idx="4">
                  <c:v>129.30000000000001</c:v>
                </c:pt>
                <c:pt idx="5">
                  <c:v>77.43619322278299</c:v>
                </c:pt>
                <c:pt idx="6">
                  <c:v>69.788174139051335</c:v>
                </c:pt>
                <c:pt idx="7">
                  <c:v>77.708708708708713</c:v>
                </c:pt>
                <c:pt idx="8">
                  <c:v>112.3411038961039</c:v>
                </c:pt>
                <c:pt idx="9">
                  <c:v>96.744537054673714</c:v>
                </c:pt>
                <c:pt idx="10">
                  <c:v>100.8</c:v>
                </c:pt>
                <c:pt idx="11">
                  <c:v>109.59555555555555</c:v>
                </c:pt>
                <c:pt idx="12">
                  <c:v>113.15100976040668</c:v>
                </c:pt>
                <c:pt idx="13">
                  <c:v>114.94126984126984</c:v>
                </c:pt>
                <c:pt idx="14">
                  <c:v>85.309615384615384</c:v>
                </c:pt>
                <c:pt idx="15">
                  <c:v>120.92436974789916</c:v>
                </c:pt>
                <c:pt idx="16">
                  <c:v>143.9</c:v>
                </c:pt>
                <c:pt idx="17">
                  <c:v>104</c:v>
                </c:pt>
              </c:numCache>
            </c:numRef>
          </c:val>
          <c:extLst>
            <c:ext xmlns:c16="http://schemas.microsoft.com/office/drawing/2014/chart" uri="{C3380CC4-5D6E-409C-BE32-E72D297353CC}">
              <c16:uniqueId val="{00000002-6123-4883-A5B1-379E25C9E9EF}"/>
            </c:ext>
          </c:extLst>
        </c:ser>
        <c:ser>
          <c:idx val="3"/>
          <c:order val="3"/>
          <c:tx>
            <c:v>Tổng thu cân đối NSNN/Dự toán</c:v>
          </c:tx>
          <c:invertIfNegative val="0"/>
          <c:cat>
            <c:numRef>
              <c:f>'Thu_Chi QT_09-22'!$AF$2:$AW$2</c:f>
              <c:numCache>
                <c:formatCode>General</c:formatCod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numCache>
            </c:numRef>
          </c:cat>
          <c:val>
            <c:numRef>
              <c:f>'Thu_Chi QT_09-22'!$AF$6:$AW$6</c:f>
              <c:numCache>
                <c:formatCode>0.0</c:formatCode>
                <c:ptCount val="18"/>
                <c:pt idx="0">
                  <c:v>117.47456914670029</c:v>
                </c:pt>
                <c:pt idx="1">
                  <c:v>116.32174529975168</c:v>
                </c:pt>
                <c:pt idx="2">
                  <c:v>133.2969040247678</c:v>
                </c:pt>
                <c:pt idx="3">
                  <c:v>116.64170300076943</c:v>
                </c:pt>
                <c:pt idx="4">
                  <c:v>127.50335861321777</c:v>
                </c:pt>
                <c:pt idx="5">
                  <c:v>121.31159663865546</c:v>
                </c:pt>
                <c:pt idx="6">
                  <c:v>100.36326806212018</c:v>
                </c:pt>
                <c:pt idx="7">
                  <c:v>101.51323529411765</c:v>
                </c:pt>
                <c:pt idx="8">
                  <c:v>112.13708956177335</c:v>
                </c:pt>
                <c:pt idx="9">
                  <c:v>112.53781143672484</c:v>
                </c:pt>
                <c:pt idx="10">
                  <c:v>109.15534746180384</c:v>
                </c:pt>
                <c:pt idx="11">
                  <c:v>106.71905162599614</c:v>
                </c:pt>
                <c:pt idx="12">
                  <c:v>108.52501950732496</c:v>
                </c:pt>
                <c:pt idx="13">
                  <c:v>108.66654857223836</c:v>
                </c:pt>
                <c:pt idx="14">
                  <c:v>99.886199828076442</c:v>
                </c:pt>
                <c:pt idx="15">
                  <c:v>116.37497859796179</c:v>
                </c:pt>
                <c:pt idx="16">
                  <c:v>128.61085822459214</c:v>
                </c:pt>
              </c:numCache>
            </c:numRef>
          </c:val>
          <c:extLst>
            <c:ext xmlns:c16="http://schemas.microsoft.com/office/drawing/2014/chart" uri="{C3380CC4-5D6E-409C-BE32-E72D297353CC}">
              <c16:uniqueId val="{00000003-6123-4883-A5B1-379E25C9E9EF}"/>
            </c:ext>
          </c:extLst>
        </c:ser>
        <c:dLbls>
          <c:showLegendKey val="0"/>
          <c:showVal val="0"/>
          <c:showCatName val="0"/>
          <c:showSerName val="0"/>
          <c:showPercent val="0"/>
          <c:showBubbleSize val="0"/>
        </c:dLbls>
        <c:gapWidth val="150"/>
        <c:axId val="693316032"/>
        <c:axId val="693316592"/>
      </c:barChart>
      <c:dateAx>
        <c:axId val="693316032"/>
        <c:scaling>
          <c:orientation val="minMax"/>
        </c:scaling>
        <c:delete val="0"/>
        <c:axPos val="b"/>
        <c:numFmt formatCode="General" sourceLinked="1"/>
        <c:majorTickMark val="out"/>
        <c:minorTickMark val="none"/>
        <c:tickLblPos val="nextTo"/>
        <c:txPr>
          <a:bodyPr rot="2700000" vert="horz"/>
          <a:lstStyle/>
          <a:p>
            <a:pPr>
              <a:defRPr/>
            </a:pPr>
            <a:endParaRPr lang="en-US"/>
          </a:p>
        </c:txPr>
        <c:crossAx val="693316592"/>
        <c:crosses val="autoZero"/>
        <c:auto val="0"/>
        <c:lblOffset val="100"/>
        <c:baseTimeUnit val="days"/>
      </c:dateAx>
      <c:valAx>
        <c:axId val="693316592"/>
        <c:scaling>
          <c:orientation val="minMax"/>
        </c:scaling>
        <c:delete val="0"/>
        <c:axPos val="r"/>
        <c:majorGridlines/>
        <c:title>
          <c:tx>
            <c:rich>
              <a:bodyPr rot="-5400000" vert="horz"/>
              <a:lstStyle/>
              <a:p>
                <a:pPr>
                  <a:defRPr/>
                </a:pPr>
                <a:r>
                  <a:rPr lang="en-US"/>
                  <a:t>Tỷ</a:t>
                </a:r>
                <a:r>
                  <a:rPr lang="en-US" baseline="0"/>
                  <a:t> lệ %</a:t>
                </a:r>
                <a:endParaRPr lang="en-US"/>
              </a:p>
            </c:rich>
          </c:tx>
          <c:overlay val="0"/>
        </c:title>
        <c:numFmt formatCode="0.0" sourceLinked="1"/>
        <c:majorTickMark val="out"/>
        <c:minorTickMark val="none"/>
        <c:tickLblPos val="nextTo"/>
        <c:crossAx val="693316032"/>
        <c:crosses val="max"/>
        <c:crossBetween val="between"/>
      </c:valAx>
    </c:plotArea>
    <c:legend>
      <c:legendPos val="r"/>
      <c:overlay val="0"/>
    </c:legend>
    <c:plotVisOnly val="1"/>
    <c:dispBlanksAs val="gap"/>
    <c:showDLblsOverMax val="0"/>
  </c:chart>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0"/>
          <c:tx>
            <c:v>Tỷ lệ chi đầu tư thực tế/Dự toán năm (%)</c:v>
          </c:tx>
          <c:spPr>
            <a:pattFill prst="openDmnd">
              <a:fgClr>
                <a:schemeClr val="bg2">
                  <a:lumMod val="75000"/>
                </a:schemeClr>
              </a:fgClr>
              <a:bgClr>
                <a:schemeClr val="bg1">
                  <a:lumMod val="50000"/>
                </a:schemeClr>
              </a:bgClr>
            </a:pattFill>
          </c:spPr>
          <c:invertIfNegative val="0"/>
          <c:cat>
            <c:numRef>
              <c:f>'Thu_Chi QT_09-22'!$AF$2:$AW$2</c:f>
              <c:numCache>
                <c:formatCode>General</c:formatCod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numCache>
            </c:numRef>
          </c:cat>
          <c:val>
            <c:numRef>
              <c:f>'Thu_Chi QT_09-22'!$AF$26:$AW$26</c:f>
              <c:numCache>
                <c:formatCode>0.0</c:formatCode>
                <c:ptCount val="18"/>
                <c:pt idx="0">
                  <c:v>108.28757048296151</c:v>
                </c:pt>
                <c:pt idx="1">
                  <c:v>104.87883358471593</c:v>
                </c:pt>
                <c:pt idx="2">
                  <c:v>119.78542063571643</c:v>
                </c:pt>
                <c:pt idx="3">
                  <c:v>160.7828014184397</c:v>
                </c:pt>
                <c:pt idx="4">
                  <c:v>145.94900398406375</c:v>
                </c:pt>
                <c:pt idx="5">
                  <c:v>137.04342105263157</c:v>
                </c:pt>
                <c:pt idx="6">
                  <c:v>149.34</c:v>
                </c:pt>
                <c:pt idx="7">
                  <c:v>155.24571428571429</c:v>
                </c:pt>
                <c:pt idx="8">
                  <c:v>152.42453987730062</c:v>
                </c:pt>
                <c:pt idx="9">
                  <c:v>121.4523076923077</c:v>
                </c:pt>
                <c:pt idx="10">
                  <c:v>116.27809374387135</c:v>
                </c:pt>
                <c:pt idx="11">
                  <c:v>104.37967240655188</c:v>
                </c:pt>
                <c:pt idx="12">
                  <c:v>98.399704075056277</c:v>
                </c:pt>
                <c:pt idx="13">
                  <c:v>98.263452131376653</c:v>
                </c:pt>
                <c:pt idx="14">
                  <c:v>122.48873778155546</c:v>
                </c:pt>
                <c:pt idx="15">
                  <c:v>108.08317619945527</c:v>
                </c:pt>
                <c:pt idx="16">
                  <c:v>85</c:v>
                </c:pt>
                <c:pt idx="17">
                  <c:v>85</c:v>
                </c:pt>
              </c:numCache>
            </c:numRef>
          </c:val>
          <c:extLst>
            <c:ext xmlns:c16="http://schemas.microsoft.com/office/drawing/2014/chart" uri="{C3380CC4-5D6E-409C-BE32-E72D297353CC}">
              <c16:uniqueId val="{00000000-BB1E-43AD-BF58-328159B1A5E9}"/>
            </c:ext>
          </c:extLst>
        </c:ser>
        <c:ser>
          <c:idx val="1"/>
          <c:order val="1"/>
          <c:tx>
            <c:v>Tổng chi thường xuyên /Dự toán đầu năm (%)</c:v>
          </c:tx>
          <c:spPr>
            <a:blipFill>
              <a:blip xmlns:r="http://schemas.openxmlformats.org/officeDocument/2006/relationships" r:embed="rId2"/>
              <a:tile tx="0" ty="0" sx="100000" sy="100000" flip="none" algn="tl"/>
            </a:blipFill>
            <a:ln w="1587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ot"/>
            </a:ln>
          </c:spPr>
          <c:invertIfNegative val="0"/>
          <c:cat>
            <c:numRef>
              <c:f>'Thu_Chi QT_09-22'!$AF$2:$AW$2</c:f>
              <c:numCache>
                <c:formatCode>General</c:formatCod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numCache>
            </c:numRef>
          </c:cat>
          <c:val>
            <c:numRef>
              <c:f>'Thu_Chi QT_09-22'!$AF$24:$AW$24</c:f>
              <c:numCache>
                <c:formatCode>0.0</c:formatCode>
                <c:ptCount val="18"/>
                <c:pt idx="0">
                  <c:v>136.96272238406365</c:v>
                </c:pt>
                <c:pt idx="1">
                  <c:v>132.91893440274993</c:v>
                </c:pt>
                <c:pt idx="2">
                  <c:v>139.99233899928177</c:v>
                </c:pt>
                <c:pt idx="3">
                  <c:v>121.30189379873747</c:v>
                </c:pt>
                <c:pt idx="4">
                  <c:v>112.23626177136727</c:v>
                </c:pt>
                <c:pt idx="5">
                  <c:v>105.63605519113322</c:v>
                </c:pt>
                <c:pt idx="6">
                  <c:v>111.32324723247233</c:v>
                </c:pt>
                <c:pt idx="7">
                  <c:v>106.86978297161937</c:v>
                </c:pt>
                <c:pt idx="8">
                  <c:v>102.68199886428165</c:v>
                </c:pt>
                <c:pt idx="9">
                  <c:v>102.80312907431552</c:v>
                </c:pt>
                <c:pt idx="10">
                  <c:v>99.799513346561568</c:v>
                </c:pt>
                <c:pt idx="11">
                  <c:v>98.371937341009513</c:v>
                </c:pt>
                <c:pt idx="12">
                  <c:v>99.055071465616194</c:v>
                </c:pt>
                <c:pt idx="13">
                  <c:v>99.511339055055402</c:v>
                </c:pt>
                <c:pt idx="14">
                  <c:v>97.173741226803983</c:v>
                </c:pt>
                <c:pt idx="15">
                  <c:v>101.65144251637359</c:v>
                </c:pt>
                <c:pt idx="16">
                  <c:v>100.1</c:v>
                </c:pt>
                <c:pt idx="17">
                  <c:v>100.1</c:v>
                </c:pt>
              </c:numCache>
            </c:numRef>
          </c:val>
          <c:extLst>
            <c:ext xmlns:c16="http://schemas.microsoft.com/office/drawing/2014/chart" uri="{C3380CC4-5D6E-409C-BE32-E72D297353CC}">
              <c16:uniqueId val="{00000001-BB1E-43AD-BF58-328159B1A5E9}"/>
            </c:ext>
          </c:extLst>
        </c:ser>
        <c:ser>
          <c:idx val="3"/>
          <c:order val="2"/>
          <c:tx>
            <c:v>Tỷ lệ chi cân đối NSNN/Dự toán năm (%)</c:v>
          </c:tx>
          <c:invertIfNegative val="0"/>
          <c:cat>
            <c:numRef>
              <c:f>'Thu_Chi QT_09-22'!$AF$2:$AW$2</c:f>
              <c:numCache>
                <c:formatCode>General</c:formatCode>
                <c:ptCount val="18"/>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numCache>
            </c:numRef>
          </c:cat>
          <c:val>
            <c:numRef>
              <c:f>'Thu_Chi QT_09-22'!$AF$23:$AW$23</c:f>
              <c:numCache>
                <c:formatCode>0.0</c:formatCode>
                <c:ptCount val="18"/>
                <c:pt idx="0">
                  <c:v>104.63926630434783</c:v>
                </c:pt>
                <c:pt idx="1">
                  <c:v>106.54308897593732</c:v>
                </c:pt>
                <c:pt idx="2">
                  <c:v>113.48087623439771</c:v>
                </c:pt>
                <c:pt idx="3">
                  <c:v>114.24241807449623</c:v>
                </c:pt>
                <c:pt idx="4">
                  <c:v>111.44503607007901</c:v>
                </c:pt>
                <c:pt idx="5">
                  <c:v>108.53831312017641</c:v>
                </c:pt>
                <c:pt idx="6">
                  <c:v>108.3449230428524</c:v>
                </c:pt>
                <c:pt idx="7">
                  <c:v>111.26308793456033</c:v>
                </c:pt>
                <c:pt idx="8">
                  <c:v>109.66355418694745</c:v>
                </c:pt>
                <c:pt idx="9">
                  <c:v>104.01098422107924</c:v>
                </c:pt>
                <c:pt idx="10">
                  <c:v>101.7170122525919</c:v>
                </c:pt>
                <c:pt idx="11">
                  <c:v>105.21294804671768</c:v>
                </c:pt>
                <c:pt idx="12">
                  <c:v>94.238134356529471</c:v>
                </c:pt>
                <c:pt idx="13">
                  <c:v>93.485152758219556</c:v>
                </c:pt>
                <c:pt idx="14">
                  <c:v>97.8492358765955</c:v>
                </c:pt>
                <c:pt idx="15">
                  <c:v>109.95494961470065</c:v>
                </c:pt>
                <c:pt idx="16">
                  <c:v>96</c:v>
                </c:pt>
                <c:pt idx="17">
                  <c:v>97</c:v>
                </c:pt>
              </c:numCache>
            </c:numRef>
          </c:val>
          <c:extLst>
            <c:ext xmlns:c16="http://schemas.microsoft.com/office/drawing/2014/chart" uri="{C3380CC4-5D6E-409C-BE32-E72D297353CC}">
              <c16:uniqueId val="{00000002-BB1E-43AD-BF58-328159B1A5E9}"/>
            </c:ext>
          </c:extLst>
        </c:ser>
        <c:dLbls>
          <c:showLegendKey val="0"/>
          <c:showVal val="0"/>
          <c:showCatName val="0"/>
          <c:showSerName val="0"/>
          <c:showPercent val="0"/>
          <c:showBubbleSize val="0"/>
        </c:dLbls>
        <c:gapWidth val="150"/>
        <c:axId val="693310992"/>
        <c:axId val="693311552"/>
      </c:barChart>
      <c:dateAx>
        <c:axId val="693310992"/>
        <c:scaling>
          <c:orientation val="minMax"/>
        </c:scaling>
        <c:delete val="0"/>
        <c:axPos val="b"/>
        <c:numFmt formatCode="General" sourceLinked="1"/>
        <c:majorTickMark val="out"/>
        <c:minorTickMark val="none"/>
        <c:tickLblPos val="nextTo"/>
        <c:crossAx val="693311552"/>
        <c:crosses val="autoZero"/>
        <c:auto val="0"/>
        <c:lblOffset val="100"/>
        <c:baseTimeUnit val="days"/>
      </c:dateAx>
      <c:valAx>
        <c:axId val="693311552"/>
        <c:scaling>
          <c:orientation val="minMax"/>
        </c:scaling>
        <c:delete val="0"/>
        <c:axPos val="l"/>
        <c:majorGridlines/>
        <c:title>
          <c:tx>
            <c:rich>
              <a:bodyPr rot="-5400000" vert="horz"/>
              <a:lstStyle/>
              <a:p>
                <a:pPr>
                  <a:defRPr/>
                </a:pPr>
                <a:r>
                  <a:rPr lang="en-US"/>
                  <a:t>Tỷ</a:t>
                </a:r>
                <a:r>
                  <a:rPr lang="en-US" baseline="0"/>
                  <a:t> lệ (%)</a:t>
                </a:r>
                <a:endParaRPr lang="en-US"/>
              </a:p>
            </c:rich>
          </c:tx>
          <c:overlay val="0"/>
        </c:title>
        <c:numFmt formatCode="0.0" sourceLinked="1"/>
        <c:majorTickMark val="out"/>
        <c:minorTickMark val="none"/>
        <c:tickLblPos val="nextTo"/>
        <c:crossAx val="693310992"/>
        <c:crosses val="autoZero"/>
        <c:crossBetween val="between"/>
        <c:majorUnit val="20"/>
      </c:valAx>
    </c:plotArea>
    <c:legend>
      <c:legendPos val="r"/>
      <c:overlay val="0"/>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US"/>
              <a:t>Mức thay đổi hàng năm (YoY)</a:t>
            </a:r>
          </a:p>
        </c:rich>
      </c:tx>
      <c:overlay val="0"/>
      <c:spPr>
        <a:noFill/>
        <a:ln w="25400">
          <a:noFill/>
        </a:ln>
      </c:spPr>
    </c:title>
    <c:autoTitleDeleted val="0"/>
    <c:plotArea>
      <c:layout/>
      <c:lineChart>
        <c:grouping val="standard"/>
        <c:varyColors val="0"/>
        <c:ser>
          <c:idx val="0"/>
          <c:order val="0"/>
          <c:tx>
            <c:v>Thâm hụt bao gồm cả trả nợ gốc</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'ChiNSNN_edit03.22'!$AJ$3:$AU$3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'ChiNSNN_edit03.22'!$AJ$44:$AU$44</c:f>
              <c:numCache>
                <c:formatCode>General</c:formatCode>
                <c:ptCount val="12"/>
                <c:pt idx="0">
                  <c:v>102.60369444368125</c:v>
                </c:pt>
                <c:pt idx="1">
                  <c:v>155.14486673688344</c:v>
                </c:pt>
                <c:pt idx="2">
                  <c:v>136.21896844346</c:v>
                </c:pt>
                <c:pt idx="3">
                  <c:v>105.40315666324561</c:v>
                </c:pt>
                <c:pt idx="4">
                  <c:v>105.43872865259935</c:v>
                </c:pt>
                <c:pt idx="5">
                  <c:v>94.524863663138689</c:v>
                </c:pt>
                <c:pt idx="6">
                  <c:v>134.94258788716991</c:v>
                </c:pt>
                <c:pt idx="7">
                  <c:v>86.481844675973718</c:v>
                </c:pt>
                <c:pt idx="8">
                  <c:v>120.4767337218791</c:v>
                </c:pt>
                <c:pt idx="9">
                  <c:v>135.49019888191475</c:v>
                </c:pt>
                <c:pt idx="10">
                  <c:v>123.79674810474954</c:v>
                </c:pt>
                <c:pt idx="11">
                  <c:v>97.633167669333915</c:v>
                </c:pt>
              </c:numCache>
            </c:numRef>
          </c:val>
          <c:smooth val="0"/>
          <c:extLst>
            <c:ext xmlns:c16="http://schemas.microsoft.com/office/drawing/2014/chart" uri="{C3380CC4-5D6E-409C-BE32-E72D297353CC}">
              <c16:uniqueId val="{00000000-5AAE-4FAA-8A43-4A316C881097}"/>
            </c:ext>
          </c:extLst>
        </c:ser>
        <c:ser>
          <c:idx val="1"/>
          <c:order val="1"/>
          <c:tx>
            <c:v>Trả nợ gốc</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'ChiNSNN_edit03.22'!$AJ$3:$AU$3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'ChiNSNN_edit03.22'!$AJ$45:$AU$45</c:f>
              <c:numCache>
                <c:formatCode>General</c:formatCode>
                <c:ptCount val="12"/>
                <c:pt idx="0">
                  <c:v>129.76837929490051</c:v>
                </c:pt>
                <c:pt idx="1">
                  <c:v>79.896703892710107</c:v>
                </c:pt>
                <c:pt idx="2">
                  <c:v>87.290371353194374</c:v>
                </c:pt>
                <c:pt idx="3">
                  <c:v>114.18370773608582</c:v>
                </c:pt>
                <c:pt idx="4">
                  <c:v>130.79221100860627</c:v>
                </c:pt>
                <c:pt idx="5">
                  <c:v>103.74096121755802</c:v>
                </c:pt>
                <c:pt idx="6">
                  <c:v>184.05621848547764</c:v>
                </c:pt>
                <c:pt idx="7">
                  <c:v>85.011317714144042</c:v>
                </c:pt>
                <c:pt idx="8">
                  <c:v>137.224963519977</c:v>
                </c:pt>
                <c:pt idx="9">
                  <c:v>118.19577714728979</c:v>
                </c:pt>
                <c:pt idx="10">
                  <c:v>109.18722832316676</c:v>
                </c:pt>
                <c:pt idx="11">
                  <c:v>82.25052388029593</c:v>
                </c:pt>
              </c:numCache>
            </c:numRef>
          </c:val>
          <c:smooth val="0"/>
          <c:extLst>
            <c:ext xmlns:c16="http://schemas.microsoft.com/office/drawing/2014/chart" uri="{C3380CC4-5D6E-409C-BE32-E72D297353CC}">
              <c16:uniqueId val="{00000001-5AAE-4FAA-8A43-4A316C881097}"/>
            </c:ext>
          </c:extLst>
        </c:ser>
        <c:ser>
          <c:idx val="2"/>
          <c:order val="2"/>
          <c:tx>
            <c:v>Thâm hụt trừ trả nợ gốc</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'ChiNSNN_edit03.22'!$AJ$3:$AU$3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'ChiNSNN_edit03.22'!$AJ$46:$AU$46</c:f>
              <c:numCache>
                <c:formatCode>General</c:formatCode>
                <c:ptCount val="12"/>
                <c:pt idx="0">
                  <c:v>66.219603642206749</c:v>
                </c:pt>
                <c:pt idx="1">
                  <c:v>352.65303481299338</c:v>
                </c:pt>
                <c:pt idx="2">
                  <c:v>165.31495990752123</c:v>
                </c:pt>
                <c:pt idx="3">
                  <c:v>102.64609578777957</c:v>
                </c:pt>
                <c:pt idx="4">
                  <c:v>96.583008034256423</c:v>
                </c:pt>
                <c:pt idx="5">
                  <c:v>90.165586269438748</c:v>
                </c:pt>
                <c:pt idx="6">
                  <c:v>108.21382007822686</c:v>
                </c:pt>
                <c:pt idx="7">
                  <c:v>87.843031250968579</c:v>
                </c:pt>
                <c:pt idx="8">
                  <c:v>105.47356439510646</c:v>
                </c:pt>
                <c:pt idx="9">
                  <c:v>155.64644469351234</c:v>
                </c:pt>
                <c:pt idx="10">
                  <c:v>136.72686041654237</c:v>
                </c:pt>
                <c:pt idx="11">
                  <c:v>108.50531527646594</c:v>
                </c:pt>
              </c:numCache>
            </c:numRef>
          </c:val>
          <c:smooth val="0"/>
          <c:extLst>
            <c:ext xmlns:c16="http://schemas.microsoft.com/office/drawing/2014/chart" uri="{C3380CC4-5D6E-409C-BE32-E72D297353CC}">
              <c16:uniqueId val="{00000002-5AAE-4FAA-8A43-4A316C881097}"/>
            </c:ext>
          </c:extLst>
        </c:ser>
        <c:dLbls>
          <c:showLegendKey val="0"/>
          <c:showVal val="0"/>
          <c:showCatName val="0"/>
          <c:showSerName val="0"/>
          <c:showPercent val="0"/>
          <c:showBubbleSize val="0"/>
        </c:dLbls>
        <c:marker val="1"/>
        <c:smooth val="0"/>
        <c:axId val="407589504"/>
        <c:axId val="1"/>
      </c:lineChart>
      <c:dateAx>
        <c:axId val="4075895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0"/>
        <c:lblOffset val="100"/>
        <c:baseTimeUnit val="days"/>
      </c:date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US" baseline="0"/>
                  <a:t> YoY change </a:t>
                </a:r>
                <a:r>
                  <a:rPr lang="en-US"/>
                  <a:t> %</a:t>
                </a:r>
              </a:p>
            </c:rich>
          </c:tx>
          <c:overlay val="0"/>
          <c:spPr>
            <a:noFill/>
            <a:ln w="25400">
              <a:noFill/>
            </a:ln>
          </c:spPr>
        </c:title>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en-US"/>
          </a:p>
        </c:txPr>
        <c:crossAx val="407589504"/>
        <c:crosses val="autoZero"/>
        <c:crossBetween val="between"/>
      </c:valAx>
      <c:spPr>
        <a:noFill/>
        <a:ln w="25400">
          <a:noFill/>
        </a:ln>
      </c:spPr>
    </c:plotArea>
    <c:legend>
      <c:legendPos val="r"/>
      <c:layout>
        <c:manualLayout>
          <c:xMode val="edge"/>
          <c:yMode val="edge"/>
          <c:x val="0.81818308139290075"/>
          <c:y val="0.29656927075292061"/>
          <c:w val="0.16898423793282524"/>
          <c:h val="0.3504911610313417"/>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Sheet3!$A$3</c:f>
              <c:strCache>
                <c:ptCount val="1"/>
                <c:pt idx="0">
                  <c:v>Các nước xuất khẩu dầu</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Sheet3!$B$1:$M$1</c:f>
              <c:numCache>
                <c:formatCode>General</c:formatCode>
                <c:ptCount val="12"/>
                <c:pt idx="0">
                  <c:v>2013</c:v>
                </c:pt>
                <c:pt idx="1">
                  <c:v>2014</c:v>
                </c:pt>
                <c:pt idx="2">
                  <c:v>2015</c:v>
                </c:pt>
                <c:pt idx="3">
                  <c:v>2016</c:v>
                </c:pt>
                <c:pt idx="4">
                  <c:v>2017</c:v>
                </c:pt>
                <c:pt idx="5">
                  <c:v>2018</c:v>
                </c:pt>
                <c:pt idx="6">
                  <c:v>2019</c:v>
                </c:pt>
                <c:pt idx="7">
                  <c:v>2020</c:v>
                </c:pt>
                <c:pt idx="8">
                  <c:v>2021</c:v>
                </c:pt>
                <c:pt idx="9">
                  <c:v>2022</c:v>
                </c:pt>
                <c:pt idx="10">
                  <c:v>2023</c:v>
                </c:pt>
                <c:pt idx="11">
                  <c:v>2024</c:v>
                </c:pt>
              </c:numCache>
            </c:numRef>
          </c:cat>
          <c:val>
            <c:numRef>
              <c:f>Sheet3!$B$3:$M$3</c:f>
              <c:numCache>
                <c:formatCode>0.0</c:formatCode>
                <c:ptCount val="12"/>
                <c:pt idx="0">
                  <c:v>13.565719414844951</c:v>
                </c:pt>
                <c:pt idx="1">
                  <c:v>12.824552209153438</c:v>
                </c:pt>
                <c:pt idx="2">
                  <c:v>8.1504691877975173</c:v>
                </c:pt>
                <c:pt idx="3">
                  <c:v>6.0948129808114277</c:v>
                </c:pt>
                <c:pt idx="4">
                  <c:v>7.1595335332682213</c:v>
                </c:pt>
                <c:pt idx="5">
                  <c:v>9.2104745191179909</c:v>
                </c:pt>
                <c:pt idx="6">
                  <c:v>8.5815655331901812</c:v>
                </c:pt>
                <c:pt idx="7">
                  <c:v>7.1840766665560922</c:v>
                </c:pt>
                <c:pt idx="8">
                  <c:v>7.9593621645537178</c:v>
                </c:pt>
                <c:pt idx="9">
                  <c:v>9.3447698578482186</c:v>
                </c:pt>
                <c:pt idx="10">
                  <c:v>9.0174249730918081</c:v>
                </c:pt>
                <c:pt idx="11">
                  <c:v>8.7951870394108465</c:v>
                </c:pt>
              </c:numCache>
            </c:numRef>
          </c:val>
          <c:smooth val="0"/>
          <c:extLst>
            <c:ext xmlns:c16="http://schemas.microsoft.com/office/drawing/2014/chart" uri="{C3380CC4-5D6E-409C-BE32-E72D297353CC}">
              <c16:uniqueId val="{00000000-F689-4DDC-BE6E-E754E6A0936E}"/>
            </c:ext>
          </c:extLst>
        </c:ser>
        <c:ser>
          <c:idx val="1"/>
          <c:order val="1"/>
          <c:tx>
            <c:strRef>
              <c:f>Sheet3!$A$4</c:f>
              <c:strCache>
                <c:ptCount val="1"/>
                <c:pt idx="0">
                  <c:v>Châu Á</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Sheet3!$B$1:$M$1</c:f>
              <c:numCache>
                <c:formatCode>General</c:formatCode>
                <c:ptCount val="12"/>
                <c:pt idx="0">
                  <c:v>2013</c:v>
                </c:pt>
                <c:pt idx="1">
                  <c:v>2014</c:v>
                </c:pt>
                <c:pt idx="2">
                  <c:v>2015</c:v>
                </c:pt>
                <c:pt idx="3">
                  <c:v>2016</c:v>
                </c:pt>
                <c:pt idx="4">
                  <c:v>2017</c:v>
                </c:pt>
                <c:pt idx="5">
                  <c:v>2018</c:v>
                </c:pt>
                <c:pt idx="6">
                  <c:v>2019</c:v>
                </c:pt>
                <c:pt idx="7">
                  <c:v>2020</c:v>
                </c:pt>
                <c:pt idx="8">
                  <c:v>2021</c:v>
                </c:pt>
                <c:pt idx="9">
                  <c:v>2022</c:v>
                </c:pt>
                <c:pt idx="10">
                  <c:v>2023</c:v>
                </c:pt>
                <c:pt idx="11">
                  <c:v>2024</c:v>
                </c:pt>
              </c:numCache>
            </c:numRef>
          </c:cat>
          <c:val>
            <c:numRef>
              <c:f>Sheet3!$B$4:$M$4</c:f>
              <c:numCache>
                <c:formatCode>0.0</c:formatCode>
                <c:ptCount val="12"/>
                <c:pt idx="0">
                  <c:v>16.917317890481097</c:v>
                </c:pt>
                <c:pt idx="1">
                  <c:v>16.751041477591965</c:v>
                </c:pt>
                <c:pt idx="2">
                  <c:v>16.494927844699777</c:v>
                </c:pt>
                <c:pt idx="3">
                  <c:v>16.053397754830865</c:v>
                </c:pt>
                <c:pt idx="4">
                  <c:v>15.847085464924207</c:v>
                </c:pt>
                <c:pt idx="5">
                  <c:v>16.348678789269755</c:v>
                </c:pt>
                <c:pt idx="6">
                  <c:v>15.837500738971121</c:v>
                </c:pt>
                <c:pt idx="7">
                  <c:v>15.218202004925967</c:v>
                </c:pt>
                <c:pt idx="8">
                  <c:v>14.417442543296083</c:v>
                </c:pt>
                <c:pt idx="9">
                  <c:v>14.314509591432628</c:v>
                </c:pt>
                <c:pt idx="10">
                  <c:v>14.455922169213622</c:v>
                </c:pt>
                <c:pt idx="11">
                  <c:v>14.645780147030205</c:v>
                </c:pt>
              </c:numCache>
            </c:numRef>
          </c:val>
          <c:smooth val="0"/>
          <c:extLst>
            <c:ext xmlns:c16="http://schemas.microsoft.com/office/drawing/2014/chart" uri="{C3380CC4-5D6E-409C-BE32-E72D297353CC}">
              <c16:uniqueId val="{00000001-F689-4DDC-BE6E-E754E6A0936E}"/>
            </c:ext>
          </c:extLst>
        </c:ser>
        <c:ser>
          <c:idx val="2"/>
          <c:order val="2"/>
          <c:tx>
            <c:strRef>
              <c:f>Sheet3!$A$5</c:f>
              <c:strCache>
                <c:ptCount val="1"/>
                <c:pt idx="0">
                  <c:v>Mỹ La tinh</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Sheet3!$B$1:$M$1</c:f>
              <c:numCache>
                <c:formatCode>General</c:formatCode>
                <c:ptCount val="12"/>
                <c:pt idx="0">
                  <c:v>2013</c:v>
                </c:pt>
                <c:pt idx="1">
                  <c:v>2014</c:v>
                </c:pt>
                <c:pt idx="2">
                  <c:v>2015</c:v>
                </c:pt>
                <c:pt idx="3">
                  <c:v>2016</c:v>
                </c:pt>
                <c:pt idx="4">
                  <c:v>2017</c:v>
                </c:pt>
                <c:pt idx="5">
                  <c:v>2018</c:v>
                </c:pt>
                <c:pt idx="6">
                  <c:v>2019</c:v>
                </c:pt>
                <c:pt idx="7">
                  <c:v>2020</c:v>
                </c:pt>
                <c:pt idx="8">
                  <c:v>2021</c:v>
                </c:pt>
                <c:pt idx="9">
                  <c:v>2022</c:v>
                </c:pt>
                <c:pt idx="10">
                  <c:v>2023</c:v>
                </c:pt>
                <c:pt idx="11">
                  <c:v>2024</c:v>
                </c:pt>
              </c:numCache>
            </c:numRef>
          </c:cat>
          <c:val>
            <c:numRef>
              <c:f>Sheet3!$B$5:$M$5</c:f>
              <c:numCache>
                <c:formatCode>0.0</c:formatCode>
                <c:ptCount val="12"/>
                <c:pt idx="0">
                  <c:v>19.738263399086978</c:v>
                </c:pt>
                <c:pt idx="1">
                  <c:v>19.936044652854221</c:v>
                </c:pt>
                <c:pt idx="2">
                  <c:v>20.594421200906115</c:v>
                </c:pt>
                <c:pt idx="3">
                  <c:v>21.762314577667791</c:v>
                </c:pt>
                <c:pt idx="4">
                  <c:v>21.408838056408072</c:v>
                </c:pt>
                <c:pt idx="5">
                  <c:v>20.944089702072144</c:v>
                </c:pt>
                <c:pt idx="6">
                  <c:v>21.213436323368761</c:v>
                </c:pt>
                <c:pt idx="7">
                  <c:v>19.700990544452768</c:v>
                </c:pt>
                <c:pt idx="8">
                  <c:v>20.22681924352046</c:v>
                </c:pt>
                <c:pt idx="9">
                  <c:v>20.577533997021209</c:v>
                </c:pt>
                <c:pt idx="10">
                  <c:v>21.01585266096582</c:v>
                </c:pt>
                <c:pt idx="11">
                  <c:v>21.245134552145551</c:v>
                </c:pt>
              </c:numCache>
            </c:numRef>
          </c:val>
          <c:smooth val="0"/>
          <c:extLst>
            <c:ext xmlns:c16="http://schemas.microsoft.com/office/drawing/2014/chart" uri="{C3380CC4-5D6E-409C-BE32-E72D297353CC}">
              <c16:uniqueId val="{00000002-F689-4DDC-BE6E-E754E6A0936E}"/>
            </c:ext>
          </c:extLst>
        </c:ser>
        <c:ser>
          <c:idx val="3"/>
          <c:order val="3"/>
          <c:tx>
            <c:strRef>
              <c:f>Sheet3!$A$6</c:f>
              <c:strCache>
                <c:ptCount val="1"/>
                <c:pt idx="0">
                  <c:v>Châu Phi Sahara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Sheet3!$B$1:$M$1</c:f>
              <c:numCache>
                <c:formatCode>General</c:formatCode>
                <c:ptCount val="12"/>
                <c:pt idx="0">
                  <c:v>2013</c:v>
                </c:pt>
                <c:pt idx="1">
                  <c:v>2014</c:v>
                </c:pt>
                <c:pt idx="2">
                  <c:v>2015</c:v>
                </c:pt>
                <c:pt idx="3">
                  <c:v>2016</c:v>
                </c:pt>
                <c:pt idx="4">
                  <c:v>2017</c:v>
                </c:pt>
                <c:pt idx="5">
                  <c:v>2018</c:v>
                </c:pt>
                <c:pt idx="6">
                  <c:v>2019</c:v>
                </c:pt>
                <c:pt idx="7">
                  <c:v>2020</c:v>
                </c:pt>
                <c:pt idx="8">
                  <c:v>2021</c:v>
                </c:pt>
                <c:pt idx="9">
                  <c:v>2022</c:v>
                </c:pt>
                <c:pt idx="10">
                  <c:v>2023</c:v>
                </c:pt>
                <c:pt idx="11">
                  <c:v>2024</c:v>
                </c:pt>
              </c:numCache>
            </c:numRef>
          </c:cat>
          <c:val>
            <c:numRef>
              <c:f>Sheet3!$B$6:$M$6</c:f>
              <c:numCache>
                <c:formatCode>0.0</c:formatCode>
                <c:ptCount val="12"/>
                <c:pt idx="0">
                  <c:v>14.544343956236782</c:v>
                </c:pt>
                <c:pt idx="1">
                  <c:v>14.301391203593676</c:v>
                </c:pt>
                <c:pt idx="2">
                  <c:v>12.360953250007348</c:v>
                </c:pt>
                <c:pt idx="3">
                  <c:v>11.754290446979725</c:v>
                </c:pt>
                <c:pt idx="4">
                  <c:v>12.762273934556806</c:v>
                </c:pt>
                <c:pt idx="5">
                  <c:v>13.251973641100324</c:v>
                </c:pt>
                <c:pt idx="6">
                  <c:v>13.025382251827294</c:v>
                </c:pt>
                <c:pt idx="7">
                  <c:v>12.246272743891563</c:v>
                </c:pt>
                <c:pt idx="8">
                  <c:v>13.042390974313117</c:v>
                </c:pt>
                <c:pt idx="9">
                  <c:v>13.757042823173801</c:v>
                </c:pt>
                <c:pt idx="10">
                  <c:v>13.696406997240452</c:v>
                </c:pt>
                <c:pt idx="11">
                  <c:v>13.632245420255158</c:v>
                </c:pt>
              </c:numCache>
            </c:numRef>
          </c:val>
          <c:smooth val="0"/>
          <c:extLst>
            <c:ext xmlns:c16="http://schemas.microsoft.com/office/drawing/2014/chart" uri="{C3380CC4-5D6E-409C-BE32-E72D297353CC}">
              <c16:uniqueId val="{00000003-F689-4DDC-BE6E-E754E6A0936E}"/>
            </c:ext>
          </c:extLst>
        </c:ser>
        <c:ser>
          <c:idx val="4"/>
          <c:order val="4"/>
          <c:tx>
            <c:strRef>
              <c:f>Sheet3!$A$7</c:f>
              <c:strCache>
                <c:ptCount val="1"/>
                <c:pt idx="0">
                  <c:v>Khác</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Sheet3!$B$1:$M$1</c:f>
              <c:numCache>
                <c:formatCode>General</c:formatCode>
                <c:ptCount val="12"/>
                <c:pt idx="0">
                  <c:v>2013</c:v>
                </c:pt>
                <c:pt idx="1">
                  <c:v>2014</c:v>
                </c:pt>
                <c:pt idx="2">
                  <c:v>2015</c:v>
                </c:pt>
                <c:pt idx="3">
                  <c:v>2016</c:v>
                </c:pt>
                <c:pt idx="4">
                  <c:v>2017</c:v>
                </c:pt>
                <c:pt idx="5">
                  <c:v>2018</c:v>
                </c:pt>
                <c:pt idx="6">
                  <c:v>2019</c:v>
                </c:pt>
                <c:pt idx="7">
                  <c:v>2020</c:v>
                </c:pt>
                <c:pt idx="8">
                  <c:v>2021</c:v>
                </c:pt>
                <c:pt idx="9">
                  <c:v>2022</c:v>
                </c:pt>
                <c:pt idx="10">
                  <c:v>2023</c:v>
                </c:pt>
                <c:pt idx="11">
                  <c:v>2024</c:v>
                </c:pt>
              </c:numCache>
            </c:numRef>
          </c:cat>
          <c:val>
            <c:numRef>
              <c:f>Sheet3!$B$7:$M$7</c:f>
              <c:numCache>
                <c:formatCode>0.0</c:formatCode>
                <c:ptCount val="12"/>
                <c:pt idx="0">
                  <c:v>21.878725320559344</c:v>
                </c:pt>
                <c:pt idx="1">
                  <c:v>21.36799101439577</c:v>
                </c:pt>
                <c:pt idx="2">
                  <c:v>18.098803111386243</c:v>
                </c:pt>
                <c:pt idx="3">
                  <c:v>17.258594463564872</c:v>
                </c:pt>
                <c:pt idx="4">
                  <c:v>17.179448232291758</c:v>
                </c:pt>
                <c:pt idx="5">
                  <c:v>20.692869454872049</c:v>
                </c:pt>
                <c:pt idx="6">
                  <c:v>20.65105390496884</c:v>
                </c:pt>
                <c:pt idx="7">
                  <c:v>19.495704100189574</c:v>
                </c:pt>
                <c:pt idx="8">
                  <c:v>19.658383003739278</c:v>
                </c:pt>
                <c:pt idx="9">
                  <c:v>20.655339730768631</c:v>
                </c:pt>
                <c:pt idx="10">
                  <c:v>20.192103876191233</c:v>
                </c:pt>
                <c:pt idx="11">
                  <c:v>20.585478085918936</c:v>
                </c:pt>
              </c:numCache>
            </c:numRef>
          </c:val>
          <c:smooth val="0"/>
          <c:extLst>
            <c:ext xmlns:c16="http://schemas.microsoft.com/office/drawing/2014/chart" uri="{C3380CC4-5D6E-409C-BE32-E72D297353CC}">
              <c16:uniqueId val="{00000004-F689-4DDC-BE6E-E754E6A0936E}"/>
            </c:ext>
          </c:extLst>
        </c:ser>
        <c:ser>
          <c:idx val="5"/>
          <c:order val="5"/>
          <c:tx>
            <c:strRef>
              <c:f>Sheet3!$A$8</c:f>
              <c:strCache>
                <c:ptCount val="1"/>
                <c:pt idx="0">
                  <c:v>Vietnam</c:v>
                </c:pt>
              </c:strCache>
            </c:strRef>
          </c:tx>
          <c:spPr>
            <a:ln w="28575" cap="rnd">
              <a:solidFill>
                <a:srgbClr val="FF0000"/>
              </a:solidFill>
              <a:prstDash val="sysDash"/>
              <a:round/>
            </a:ln>
            <a:effectLst/>
          </c:spPr>
          <c:marker>
            <c:symbol val="circle"/>
            <c:size val="5"/>
            <c:spPr>
              <a:solidFill>
                <a:schemeClr val="accent6"/>
              </a:solidFill>
              <a:ln w="9525">
                <a:solidFill>
                  <a:schemeClr val="accent6"/>
                </a:solidFill>
              </a:ln>
              <a:effectLst/>
            </c:spPr>
          </c:marker>
          <c:cat>
            <c:numRef>
              <c:f>Sheet3!$B$1:$M$1</c:f>
              <c:numCache>
                <c:formatCode>General</c:formatCode>
                <c:ptCount val="12"/>
                <c:pt idx="0">
                  <c:v>2013</c:v>
                </c:pt>
                <c:pt idx="1">
                  <c:v>2014</c:v>
                </c:pt>
                <c:pt idx="2">
                  <c:v>2015</c:v>
                </c:pt>
                <c:pt idx="3">
                  <c:v>2016</c:v>
                </c:pt>
                <c:pt idx="4">
                  <c:v>2017</c:v>
                </c:pt>
                <c:pt idx="5">
                  <c:v>2018</c:v>
                </c:pt>
                <c:pt idx="6">
                  <c:v>2019</c:v>
                </c:pt>
                <c:pt idx="7">
                  <c:v>2020</c:v>
                </c:pt>
                <c:pt idx="8">
                  <c:v>2021</c:v>
                </c:pt>
                <c:pt idx="9">
                  <c:v>2022</c:v>
                </c:pt>
                <c:pt idx="10">
                  <c:v>2023</c:v>
                </c:pt>
                <c:pt idx="11">
                  <c:v>2024</c:v>
                </c:pt>
              </c:numCache>
            </c:numRef>
          </c:cat>
          <c:val>
            <c:numRef>
              <c:f>Sheet3!$B$8:$M$8</c:f>
              <c:numCache>
                <c:formatCode>0.0</c:formatCode>
                <c:ptCount val="12"/>
                <c:pt idx="0">
                  <c:v>18.492997678344778</c:v>
                </c:pt>
                <c:pt idx="1">
                  <c:v>17.738238931503453</c:v>
                </c:pt>
                <c:pt idx="2">
                  <c:v>19.190369899484804</c:v>
                </c:pt>
                <c:pt idx="3">
                  <c:v>19.066705832374584</c:v>
                </c:pt>
                <c:pt idx="4">
                  <c:v>19.565299877878914</c:v>
                </c:pt>
                <c:pt idx="5">
                  <c:v>19.547248369936373</c:v>
                </c:pt>
                <c:pt idx="6">
                  <c:v>19.648114142296734</c:v>
                </c:pt>
                <c:pt idx="7">
                  <c:v>18.535381252759304</c:v>
                </c:pt>
                <c:pt idx="8">
                  <c:v>15.960849312285372</c:v>
                </c:pt>
                <c:pt idx="9">
                  <c:v>15.374055424602961</c:v>
                </c:pt>
                <c:pt idx="10">
                  <c:v>15.595328007501752</c:v>
                </c:pt>
                <c:pt idx="11">
                  <c:v>15.997825615076225</c:v>
                </c:pt>
              </c:numCache>
            </c:numRef>
          </c:val>
          <c:smooth val="0"/>
          <c:extLst>
            <c:ext xmlns:c16="http://schemas.microsoft.com/office/drawing/2014/chart" uri="{C3380CC4-5D6E-409C-BE32-E72D297353CC}">
              <c16:uniqueId val="{00000005-F689-4DDC-BE6E-E754E6A0936E}"/>
            </c:ext>
          </c:extLst>
        </c:ser>
        <c:dLbls>
          <c:showLegendKey val="0"/>
          <c:showVal val="0"/>
          <c:showCatName val="0"/>
          <c:showSerName val="0"/>
          <c:showPercent val="0"/>
          <c:showBubbleSize val="0"/>
        </c:dLbls>
        <c:marker val="1"/>
        <c:smooth val="0"/>
        <c:axId val="717985328"/>
        <c:axId val="717984016"/>
      </c:lineChart>
      <c:catAx>
        <c:axId val="717985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7984016"/>
        <c:crosses val="autoZero"/>
        <c:auto val="1"/>
        <c:lblAlgn val="ctr"/>
        <c:lblOffset val="100"/>
        <c:noMultiLvlLbl val="0"/>
      </c:catAx>
      <c:valAx>
        <c:axId val="7179840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7985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01B32-D4EB-455B-B45A-51E71A6E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ibm-thinkpad</dc:creator>
  <cp:lastModifiedBy>Vu Sy Cuong</cp:lastModifiedBy>
  <cp:revision>14</cp:revision>
  <dcterms:created xsi:type="dcterms:W3CDTF">2023-09-14T05:47:00Z</dcterms:created>
  <dcterms:modified xsi:type="dcterms:W3CDTF">2023-09-14T06:59:00Z</dcterms:modified>
</cp:coreProperties>
</file>