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6DB8" w14:textId="529FBA81" w:rsidR="009E4BF5" w:rsidRPr="009E4BF5" w:rsidRDefault="009E4BF5" w:rsidP="009E4BF5">
      <w:pPr>
        <w:jc w:val="center"/>
        <w:rPr>
          <w:rFonts w:ascii="Times New Roman" w:hAnsi="Times New Roman" w:cs="Times New Roman"/>
          <w:i/>
          <w:iCs/>
          <w:sz w:val="28"/>
          <w:szCs w:val="28"/>
        </w:rPr>
      </w:pPr>
      <w:r w:rsidRPr="009E4BF5">
        <w:rPr>
          <w:rFonts w:ascii="Times New Roman" w:hAnsi="Times New Roman" w:cs="Times New Roman"/>
          <w:i/>
          <w:iCs/>
          <w:sz w:val="28"/>
          <w:szCs w:val="28"/>
        </w:rPr>
        <w:t>Tham luận</w:t>
      </w:r>
    </w:p>
    <w:p w14:paraId="52BBD5EE" w14:textId="233FC6D6" w:rsidR="00000000" w:rsidRPr="001967AB" w:rsidRDefault="001967AB" w:rsidP="009E4BF5">
      <w:pPr>
        <w:jc w:val="center"/>
        <w:rPr>
          <w:rFonts w:ascii="Times New Roman" w:hAnsi="Times New Roman" w:cs="Times New Roman"/>
          <w:b/>
          <w:bCs/>
          <w:sz w:val="28"/>
          <w:szCs w:val="28"/>
        </w:rPr>
      </w:pPr>
      <w:r w:rsidRPr="001967AB">
        <w:rPr>
          <w:rFonts w:ascii="Times New Roman" w:hAnsi="Times New Roman" w:cs="Times New Roman"/>
          <w:b/>
          <w:bCs/>
          <w:sz w:val="28"/>
          <w:szCs w:val="28"/>
        </w:rPr>
        <w:t>CHUYỂN ĐỔI XANH VÀ THÁCH THỨC TĂNG TRƯỞNG</w:t>
      </w:r>
      <w:r w:rsidR="00312CB5">
        <w:rPr>
          <w:rFonts w:ascii="Times New Roman" w:hAnsi="Times New Roman" w:cs="Times New Roman"/>
          <w:b/>
          <w:bCs/>
          <w:sz w:val="28"/>
          <w:szCs w:val="28"/>
        </w:rPr>
        <w:br/>
      </w:r>
      <w:r w:rsidRPr="001967AB">
        <w:rPr>
          <w:rFonts w:ascii="Times New Roman" w:hAnsi="Times New Roman" w:cs="Times New Roman"/>
          <w:b/>
          <w:bCs/>
          <w:sz w:val="28"/>
          <w:szCs w:val="28"/>
        </w:rPr>
        <w:t>KINH TẾ TRUNG HẠN</w:t>
      </w:r>
    </w:p>
    <w:p w14:paraId="3F290497" w14:textId="21DD6335" w:rsidR="009E4BF5" w:rsidRPr="001967AB" w:rsidRDefault="009E4BF5" w:rsidP="009E4BF5">
      <w:pPr>
        <w:jc w:val="center"/>
        <w:rPr>
          <w:rFonts w:ascii="Times New Roman" w:hAnsi="Times New Roman" w:cs="Times New Roman"/>
          <w:sz w:val="28"/>
          <w:szCs w:val="28"/>
        </w:rPr>
      </w:pPr>
      <w:r>
        <w:rPr>
          <w:rFonts w:ascii="Times New Roman" w:hAnsi="Times New Roman" w:cs="Times New Roman"/>
          <w:sz w:val="28"/>
          <w:szCs w:val="28"/>
        </w:rPr>
        <w:t>Nguyễn Xuân Thành</w:t>
      </w:r>
      <w:r>
        <w:rPr>
          <w:rFonts w:ascii="Times New Roman" w:hAnsi="Times New Roman" w:cs="Times New Roman"/>
          <w:sz w:val="28"/>
          <w:szCs w:val="28"/>
        </w:rPr>
        <w:br/>
        <w:t>Trường Chính sách Công và Quản lý Fulbright, Đại học Fulbright Việt Nam</w:t>
      </w:r>
      <w:r>
        <w:rPr>
          <w:rFonts w:ascii="Times New Roman" w:hAnsi="Times New Roman" w:cs="Times New Roman"/>
          <w:sz w:val="28"/>
          <w:szCs w:val="28"/>
        </w:rPr>
        <w:br/>
      </w:r>
      <w:r w:rsidR="00092BDC">
        <w:rPr>
          <w:rFonts w:ascii="Times New Roman" w:hAnsi="Times New Roman" w:cs="Times New Roman"/>
          <w:sz w:val="28"/>
          <w:szCs w:val="28"/>
        </w:rPr>
        <w:t xml:space="preserve">Ngày </w:t>
      </w:r>
      <w:r>
        <w:rPr>
          <w:rFonts w:ascii="Times New Roman" w:hAnsi="Times New Roman" w:cs="Times New Roman"/>
          <w:sz w:val="28"/>
          <w:szCs w:val="28"/>
        </w:rPr>
        <w:t>15</w:t>
      </w:r>
      <w:r w:rsidR="00092BDC">
        <w:rPr>
          <w:rFonts w:ascii="Times New Roman" w:hAnsi="Times New Roman" w:cs="Times New Roman"/>
          <w:sz w:val="28"/>
          <w:szCs w:val="28"/>
        </w:rPr>
        <w:t xml:space="preserve"> tháng </w:t>
      </w:r>
      <w:r>
        <w:rPr>
          <w:rFonts w:ascii="Times New Roman" w:hAnsi="Times New Roman" w:cs="Times New Roman"/>
          <w:sz w:val="28"/>
          <w:szCs w:val="28"/>
        </w:rPr>
        <w:t>9</w:t>
      </w:r>
      <w:r w:rsidR="00092BDC">
        <w:rPr>
          <w:rFonts w:ascii="Times New Roman" w:hAnsi="Times New Roman" w:cs="Times New Roman"/>
          <w:sz w:val="28"/>
          <w:szCs w:val="28"/>
        </w:rPr>
        <w:t xml:space="preserve"> năm </w:t>
      </w:r>
      <w:r>
        <w:rPr>
          <w:rFonts w:ascii="Times New Roman" w:hAnsi="Times New Roman" w:cs="Times New Roman"/>
          <w:sz w:val="28"/>
          <w:szCs w:val="28"/>
        </w:rPr>
        <w:t>2023</w:t>
      </w:r>
    </w:p>
    <w:p w14:paraId="2DDDD849" w14:textId="77777777" w:rsidR="009E4BF5" w:rsidRDefault="009E4BF5">
      <w:pPr>
        <w:rPr>
          <w:rFonts w:ascii="Times New Roman" w:hAnsi="Times New Roman" w:cs="Times New Roman"/>
          <w:sz w:val="28"/>
          <w:szCs w:val="28"/>
        </w:rPr>
      </w:pPr>
    </w:p>
    <w:p w14:paraId="6B81C51B" w14:textId="77777777" w:rsidR="00092BDC" w:rsidRDefault="00092BDC">
      <w:pPr>
        <w:rPr>
          <w:rFonts w:ascii="Times New Roman" w:hAnsi="Times New Roman" w:cs="Times New Roman"/>
          <w:sz w:val="28"/>
          <w:szCs w:val="28"/>
        </w:rPr>
      </w:pPr>
    </w:p>
    <w:p w14:paraId="3357AC73" w14:textId="057C9A22" w:rsidR="00BB639F" w:rsidRPr="00BB639F" w:rsidRDefault="00BB639F" w:rsidP="00D6467F">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sidRPr="00BB639F">
        <w:rPr>
          <w:rFonts w:ascii="Times New Roman" w:hAnsi="Times New Roman" w:cs="Times New Roman"/>
          <w:b/>
          <w:bCs/>
          <w:sz w:val="28"/>
          <w:szCs w:val="28"/>
        </w:rPr>
        <w:t>Giới thiệu</w:t>
      </w:r>
    </w:p>
    <w:p w14:paraId="4EAE008A" w14:textId="03BAE108" w:rsidR="00885E4A" w:rsidRDefault="00EA4553"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Nền kinh tế Việt Nam </w:t>
      </w:r>
      <w:r w:rsidR="00CE3C4F">
        <w:rPr>
          <w:rFonts w:ascii="Times New Roman" w:hAnsi="Times New Roman" w:cs="Times New Roman"/>
          <w:sz w:val="28"/>
          <w:szCs w:val="28"/>
        </w:rPr>
        <w:t xml:space="preserve">hiện đang đứng trước những thánh thức rất lớn trong ngắn hạn và trung hạn về mặt tốc độ tăng trưởng. Ngay cả khi không có nhiều thay đổi về cơ cấu kinh tế và phát huy được tác động tích cực của một số động lực tăng trưởng mới thì việc đạt mục tiêu GDP tăng trưởng bình quân 6,5% trong giai đoạn 2021-2025 là vô cùng khó khăn. </w:t>
      </w:r>
      <w:r w:rsidR="003264DF">
        <w:rPr>
          <w:rFonts w:ascii="Times New Roman" w:hAnsi="Times New Roman" w:cs="Times New Roman"/>
          <w:sz w:val="28"/>
          <w:szCs w:val="28"/>
        </w:rPr>
        <w:t>Sau hai năm đầu tăng trưởng bình quân 5,26% và nếu năm 2023 này GDP được tăng 5,5%</w:t>
      </w:r>
      <w:r w:rsidR="00CE3C4F">
        <w:rPr>
          <w:rFonts w:ascii="Times New Roman" w:hAnsi="Times New Roman" w:cs="Times New Roman"/>
          <w:sz w:val="28"/>
          <w:szCs w:val="28"/>
        </w:rPr>
        <w:t xml:space="preserve">, </w:t>
      </w:r>
      <w:r w:rsidR="003264DF">
        <w:rPr>
          <w:rFonts w:ascii="Times New Roman" w:hAnsi="Times New Roman" w:cs="Times New Roman"/>
          <w:sz w:val="28"/>
          <w:szCs w:val="28"/>
        </w:rPr>
        <w:t>thì ngay cả khi GDP hai năm 2024-2025 tăng được 7% thì tốc độ bình quân 5 năm cũng chỉ là 6%.</w:t>
      </w:r>
    </w:p>
    <w:p w14:paraId="4B194D15" w14:textId="77777777" w:rsidR="00885E4A" w:rsidRDefault="004C09A5"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Cả ba động lực tăng trưởng hiện nay của nền kinh tế Việt Nam là tiêu dùng nội địa, đầu tư và xuất khẩu đều không theo hướng chuyển đổi xanh và kinh tế tuần hoàn. </w:t>
      </w:r>
      <w:r w:rsidR="003469EE">
        <w:rPr>
          <w:rFonts w:ascii="Times New Roman" w:hAnsi="Times New Roman" w:cs="Times New Roman"/>
          <w:sz w:val="28"/>
          <w:szCs w:val="28"/>
        </w:rPr>
        <w:t>Nếu tiếp tục thúc đẩy tăng trưởng với ba động lực truyền thông này mà không có chính sách mang tính khuyến khích để thay đổi hành vi trong tiêu dùng, đầu tư và sản xuất kinh doanh thì chắc chắn các mục tiêu về chuyển đổi xanh sẽ không đạt được. Ngược lại, việc ban hành và thực thi các chính sách mang tính hành chính</w:t>
      </w:r>
      <w:r w:rsidR="00885E4A">
        <w:rPr>
          <w:rFonts w:ascii="Times New Roman" w:hAnsi="Times New Roman" w:cs="Times New Roman"/>
          <w:sz w:val="28"/>
          <w:szCs w:val="28"/>
        </w:rPr>
        <w:t>,</w:t>
      </w:r>
      <w:r w:rsidR="003469EE">
        <w:rPr>
          <w:rFonts w:ascii="Times New Roman" w:hAnsi="Times New Roman" w:cs="Times New Roman"/>
          <w:sz w:val="28"/>
          <w:szCs w:val="28"/>
        </w:rPr>
        <w:t xml:space="preserve"> phản ứng thụ động</w:t>
      </w:r>
      <w:r w:rsidR="00885E4A">
        <w:rPr>
          <w:rFonts w:ascii="Times New Roman" w:hAnsi="Times New Roman" w:cs="Times New Roman"/>
          <w:sz w:val="28"/>
          <w:szCs w:val="28"/>
        </w:rPr>
        <w:t>, bắt buộc chuyển đổi mô hình tăng trưởng không có lộ trình</w:t>
      </w:r>
      <w:r w:rsidR="003469EE">
        <w:rPr>
          <w:rFonts w:ascii="Times New Roman" w:hAnsi="Times New Roman" w:cs="Times New Roman"/>
          <w:sz w:val="28"/>
          <w:szCs w:val="28"/>
        </w:rPr>
        <w:t xml:space="preserve"> </w:t>
      </w:r>
      <w:r w:rsidR="00885E4A">
        <w:rPr>
          <w:rFonts w:ascii="Times New Roman" w:hAnsi="Times New Roman" w:cs="Times New Roman"/>
          <w:sz w:val="28"/>
          <w:szCs w:val="28"/>
        </w:rPr>
        <w:t>sẽ làm suy giảng tăng trưởng kinh tế một cách đáng kể.</w:t>
      </w:r>
    </w:p>
    <w:p w14:paraId="24F60CE6" w14:textId="3F479FDA" w:rsidR="001967AB" w:rsidRDefault="001967AB"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Bài tham luận này </w:t>
      </w:r>
      <w:r w:rsidR="003264DF">
        <w:rPr>
          <w:rFonts w:ascii="Times New Roman" w:hAnsi="Times New Roman" w:cs="Times New Roman"/>
          <w:sz w:val="28"/>
          <w:szCs w:val="28"/>
        </w:rPr>
        <w:t xml:space="preserve">lập luận rằng </w:t>
      </w:r>
      <w:r w:rsidR="00A822B3">
        <w:rPr>
          <w:rFonts w:ascii="Times New Roman" w:hAnsi="Times New Roman" w:cs="Times New Roman"/>
          <w:sz w:val="28"/>
          <w:szCs w:val="28"/>
        </w:rPr>
        <w:t xml:space="preserve">tập trung vào </w:t>
      </w:r>
      <w:r w:rsidR="009E4BF5">
        <w:rPr>
          <w:rFonts w:ascii="Times New Roman" w:hAnsi="Times New Roman" w:cs="Times New Roman"/>
          <w:sz w:val="28"/>
          <w:szCs w:val="28"/>
        </w:rPr>
        <w:t xml:space="preserve">các vấn để thuộc thẩm quyền của Quốc hội Việt Nam trong việc </w:t>
      </w:r>
      <w:r w:rsidR="000A5F49">
        <w:rPr>
          <w:rFonts w:ascii="Times New Roman" w:hAnsi="Times New Roman" w:cs="Times New Roman"/>
          <w:sz w:val="28"/>
          <w:szCs w:val="28"/>
        </w:rPr>
        <w:t>hoạch định chính sách để biến chuyển đổi xanh trở thành một động lực tăng trưởng kinh tế trong trung hạn với việc định hướng ban hành các cơ chế khuyến khích cho việc tiêu dùng và sản xuất theo hướng kinh tế tuần hoàn, sản xuất và tiêu dùng bớt thâm dụng năng lượng hơn và đẩy mạnh đầu tư vào các cơ sở hạ tầng cho chuyển đổi năng lượng và phát triển bền vững.</w:t>
      </w:r>
    </w:p>
    <w:p w14:paraId="301670A2" w14:textId="00854149" w:rsidR="000A5F49" w:rsidRPr="00BB639F" w:rsidRDefault="000A5F49" w:rsidP="00D6467F">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Pr>
          <w:rFonts w:ascii="Times New Roman" w:hAnsi="Times New Roman" w:cs="Times New Roman"/>
          <w:b/>
          <w:bCs/>
          <w:sz w:val="28"/>
          <w:szCs w:val="28"/>
        </w:rPr>
        <w:lastRenderedPageBreak/>
        <w:t>Tóm tắt triển vọng tăng trưởng kinh tế trung hạn với các động lực truyền thống</w:t>
      </w:r>
    </w:p>
    <w:p w14:paraId="6EB4BEC4" w14:textId="6B46AACA" w:rsidR="000A5F49" w:rsidRPr="000F2415" w:rsidRDefault="000F2415" w:rsidP="000F2415">
      <w:pPr>
        <w:pStyle w:val="ListParagraph"/>
        <w:keepNext/>
        <w:keepLines/>
        <w:numPr>
          <w:ilvl w:val="0"/>
          <w:numId w:val="2"/>
        </w:numPr>
        <w:spacing w:before="120" w:after="120" w:line="312" w:lineRule="auto"/>
        <w:ind w:hanging="720"/>
        <w:jc w:val="both"/>
        <w:rPr>
          <w:rFonts w:ascii="Times New Roman" w:hAnsi="Times New Roman" w:cs="Times New Roman"/>
          <w:b/>
          <w:bCs/>
          <w:sz w:val="28"/>
          <w:szCs w:val="28"/>
        </w:rPr>
      </w:pPr>
      <w:r w:rsidRPr="000F2415">
        <w:rPr>
          <w:rFonts w:ascii="Times New Roman" w:hAnsi="Times New Roman" w:cs="Times New Roman"/>
          <w:b/>
          <w:bCs/>
          <w:sz w:val="28"/>
          <w:szCs w:val="28"/>
        </w:rPr>
        <w:t>Triển vọng tăng trưởng kinh tế ngắn hạn</w:t>
      </w:r>
    </w:p>
    <w:p w14:paraId="558AAA8B" w14:textId="77777777" w:rsidR="00CE138D" w:rsidRDefault="000F2415"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Sau hai quý đầu năm có tốc độ tăng trưởng kinh tế thấp, việc đạt tốc độ tăng trưởng 6,5% trong năm 2023 trở nên vô cùng khó khăn, nếu không muốn nói là không khả thi khi hai quý cuối năm phải tăng trưởng đến 9% so với cùng kỳ. Kịch bản có xác suất xảy ra cao hơn là quý III và quý IV sẽ có GDP tăng lần lượt là 6,5% và 7,5% khi xuất khẩu bớt giảm sâu ở khía cạnh kinh tế đối ngoại và bắt bằng lãi suất giảm thấp hơn đối với kinh tế nội địa.</w:t>
      </w:r>
      <w:r w:rsidR="00CE138D">
        <w:rPr>
          <w:rFonts w:ascii="Times New Roman" w:hAnsi="Times New Roman" w:cs="Times New Roman"/>
          <w:sz w:val="28"/>
          <w:szCs w:val="28"/>
        </w:rPr>
        <w:t xml:space="preserve"> Tăng trưởng GDP 2023 sẽ là 5,5%.</w:t>
      </w:r>
    </w:p>
    <w:p w14:paraId="107A78A5" w14:textId="17C3E0F9" w:rsidR="005E1B73" w:rsidRPr="00D05583" w:rsidRDefault="005E1B73" w:rsidP="001236B3">
      <w:pPr>
        <w:keepNext/>
        <w:keepLines/>
        <w:spacing w:before="120" w:after="120" w:line="312" w:lineRule="auto"/>
        <w:jc w:val="center"/>
        <w:rPr>
          <w:rFonts w:ascii="Times New Roman" w:hAnsi="Times New Roman" w:cs="Times New Roman"/>
          <w:b/>
          <w:bCs/>
          <w:sz w:val="28"/>
          <w:szCs w:val="28"/>
        </w:rPr>
      </w:pPr>
      <w:r w:rsidRPr="00D05583">
        <w:rPr>
          <w:rFonts w:ascii="Times New Roman" w:hAnsi="Times New Roman" w:cs="Times New Roman"/>
          <w:b/>
          <w:bCs/>
          <w:sz w:val="28"/>
          <w:szCs w:val="28"/>
        </w:rPr>
        <w:t>Hình 1: Tăng trưởng kinh tế 6 tháng đầu năm, 2011-2023</w:t>
      </w:r>
    </w:p>
    <w:p w14:paraId="4D6BBFD5" w14:textId="3486E6F6" w:rsidR="005E1B73" w:rsidRDefault="005E1B73" w:rsidP="001236B3">
      <w:pPr>
        <w:spacing w:before="120" w:after="120" w:line="240" w:lineRule="auto"/>
        <w:jc w:val="center"/>
        <w:rPr>
          <w:rFonts w:ascii="Times New Roman" w:hAnsi="Times New Roman" w:cs="Times New Roman"/>
          <w:sz w:val="28"/>
          <w:szCs w:val="28"/>
        </w:rPr>
      </w:pPr>
      <w:r w:rsidRPr="005E1B73">
        <w:rPr>
          <w:rFonts w:ascii="Times New Roman" w:hAnsi="Times New Roman" w:cs="Times New Roman"/>
          <w:sz w:val="28"/>
          <w:szCs w:val="28"/>
        </w:rPr>
        <w:drawing>
          <wp:inline distT="0" distB="0" distL="0" distR="0" wp14:anchorId="5AE8A187" wp14:editId="2F5A67CD">
            <wp:extent cx="5031105" cy="2333548"/>
            <wp:effectExtent l="0" t="0" r="0" b="0"/>
            <wp:docPr id="959001809" name="Chart 1">
              <a:extLst xmlns:a="http://schemas.openxmlformats.org/drawingml/2006/main">
                <a:ext uri="{FF2B5EF4-FFF2-40B4-BE49-F238E27FC236}">
                  <a16:creationId xmlns:a16="http://schemas.microsoft.com/office/drawing/2014/main" id="{783C6042-27F0-7454-C196-202BD5CDF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FF3441" w14:textId="377A13C1" w:rsidR="005E1B73" w:rsidRPr="00353C23" w:rsidRDefault="005E1B73" w:rsidP="001236B3">
      <w:pPr>
        <w:spacing w:after="240" w:line="312" w:lineRule="auto"/>
        <w:jc w:val="center"/>
        <w:rPr>
          <w:rFonts w:ascii="Times New Roman" w:hAnsi="Times New Roman" w:cs="Times New Roman"/>
        </w:rPr>
      </w:pPr>
      <w:r w:rsidRPr="00353C23">
        <w:rPr>
          <w:rFonts w:ascii="Times New Roman" w:hAnsi="Times New Roman" w:cs="Times New Roman"/>
          <w:i/>
          <w:iCs/>
        </w:rPr>
        <w:t>Nguồn</w:t>
      </w:r>
      <w:r w:rsidRPr="00353C23">
        <w:rPr>
          <w:rFonts w:ascii="Times New Roman" w:hAnsi="Times New Roman" w:cs="Times New Roman"/>
        </w:rPr>
        <w:t>: Tổng cục Thống kê Việt Nam</w:t>
      </w:r>
      <w:r w:rsidR="00353C23" w:rsidRPr="00353C23">
        <w:rPr>
          <w:rFonts w:ascii="Times New Roman" w:hAnsi="Times New Roman" w:cs="Times New Roman"/>
        </w:rPr>
        <w:t>.</w:t>
      </w:r>
    </w:p>
    <w:p w14:paraId="75627DD9" w14:textId="000CAA9A" w:rsidR="00031799" w:rsidRPr="00D05583" w:rsidRDefault="00031799" w:rsidP="00C829EB">
      <w:pPr>
        <w:keepNext/>
        <w:keepLines/>
        <w:spacing w:before="120" w:after="120" w:line="312" w:lineRule="auto"/>
        <w:jc w:val="center"/>
        <w:rPr>
          <w:rFonts w:ascii="Times New Roman" w:hAnsi="Times New Roman" w:cs="Times New Roman"/>
          <w:b/>
          <w:bCs/>
          <w:sz w:val="28"/>
          <w:szCs w:val="28"/>
        </w:rPr>
      </w:pPr>
      <w:r w:rsidRPr="00D05583">
        <w:rPr>
          <w:rFonts w:ascii="Times New Roman" w:hAnsi="Times New Roman" w:cs="Times New Roman"/>
          <w:b/>
          <w:bCs/>
          <w:sz w:val="28"/>
          <w:szCs w:val="28"/>
        </w:rPr>
        <w:t xml:space="preserve">Hình </w:t>
      </w:r>
      <w:r>
        <w:rPr>
          <w:rFonts w:ascii="Times New Roman" w:hAnsi="Times New Roman" w:cs="Times New Roman"/>
          <w:b/>
          <w:bCs/>
          <w:sz w:val="28"/>
          <w:szCs w:val="28"/>
        </w:rPr>
        <w:t>2</w:t>
      </w:r>
      <w:r w:rsidRPr="00D05583">
        <w:rPr>
          <w:rFonts w:ascii="Times New Roman" w:hAnsi="Times New Roman" w:cs="Times New Roman"/>
          <w:b/>
          <w:bCs/>
          <w:sz w:val="28"/>
          <w:szCs w:val="28"/>
        </w:rPr>
        <w:t xml:space="preserve">: </w:t>
      </w:r>
      <w:r w:rsidR="00C829EB">
        <w:rPr>
          <w:rFonts w:ascii="Times New Roman" w:hAnsi="Times New Roman" w:cs="Times New Roman"/>
          <w:b/>
          <w:bCs/>
          <w:sz w:val="28"/>
          <w:szCs w:val="28"/>
        </w:rPr>
        <w:t xml:space="preserve">Xuất </w:t>
      </w:r>
      <w:r w:rsidR="007F4AFE">
        <w:rPr>
          <w:rFonts w:ascii="Times New Roman" w:hAnsi="Times New Roman" w:cs="Times New Roman"/>
          <w:b/>
          <w:bCs/>
          <w:sz w:val="28"/>
          <w:szCs w:val="28"/>
        </w:rPr>
        <w:t xml:space="preserve">nhập </w:t>
      </w:r>
      <w:r w:rsidR="00C829EB">
        <w:rPr>
          <w:rFonts w:ascii="Times New Roman" w:hAnsi="Times New Roman" w:cs="Times New Roman"/>
          <w:b/>
          <w:bCs/>
          <w:sz w:val="28"/>
          <w:szCs w:val="28"/>
        </w:rPr>
        <w:t>khẩu tăng trưởng âm nhưng đang trên đà phục hồi</w:t>
      </w:r>
      <w:r w:rsidR="00781F65">
        <w:rPr>
          <w:rFonts w:ascii="Times New Roman" w:hAnsi="Times New Roman" w:cs="Times New Roman"/>
          <w:b/>
          <w:bCs/>
          <w:sz w:val="28"/>
          <w:szCs w:val="28"/>
        </w:rPr>
        <w:br/>
        <w:t>Tăng trưởng hàng tháng so với cùng kỳ</w:t>
      </w:r>
    </w:p>
    <w:p w14:paraId="31E88D9E" w14:textId="1EBF8B0A" w:rsidR="00031799" w:rsidRDefault="004535DB" w:rsidP="005C2EE2">
      <w:pPr>
        <w:spacing w:before="120" w:after="120" w:line="240" w:lineRule="auto"/>
        <w:jc w:val="center"/>
        <w:rPr>
          <w:rFonts w:ascii="Times New Roman" w:hAnsi="Times New Roman" w:cs="Times New Roman"/>
          <w:sz w:val="28"/>
          <w:szCs w:val="28"/>
        </w:rPr>
      </w:pPr>
      <w:r w:rsidRPr="004535DB">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3545CA16" wp14:editId="3ACD0AFF">
                <wp:simplePos x="0" y="0"/>
                <wp:positionH relativeFrom="margin">
                  <wp:posOffset>2992018</wp:posOffset>
                </wp:positionH>
                <wp:positionV relativeFrom="paragraph">
                  <wp:posOffset>2237130</wp:posOffset>
                </wp:positionV>
                <wp:extent cx="972921" cy="234087"/>
                <wp:effectExtent l="0" t="0" r="0" b="13970"/>
                <wp:wrapNone/>
                <wp:docPr id="495218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1" cy="234087"/>
                        </a:xfrm>
                        <a:prstGeom prst="rect">
                          <a:avLst/>
                        </a:prstGeom>
                        <a:noFill/>
                        <a:ln w="9525">
                          <a:noFill/>
                          <a:miter lim="800000"/>
                          <a:headEnd/>
                          <a:tailEnd/>
                        </a:ln>
                      </wps:spPr>
                      <wps:txbx>
                        <w:txbxContent>
                          <w:p w14:paraId="094167C4" w14:textId="0EECCC37" w:rsidR="004535DB" w:rsidRDefault="004535DB" w:rsidP="004535DB">
                            <w:pPr>
                              <w:jc w:val="center"/>
                            </w:pPr>
                            <w:r>
                              <w:t>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5CA16" id="_x0000_t202" coordsize="21600,21600" o:spt="202" path="m,l,21600r21600,l21600,xe">
                <v:stroke joinstyle="miter"/>
                <v:path gradientshapeok="t" o:connecttype="rect"/>
              </v:shapetype>
              <v:shape id="Text Box 2" o:spid="_x0000_s1026" type="#_x0000_t202" style="position:absolute;left:0;text-align:left;margin-left:235.6pt;margin-top:176.15pt;width:76.6pt;height:18.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" filled="f" stroked="f">
                <v:textbox inset="0,0,0,0">
                  <w:txbxContent>
                    <w:p w14:paraId="094167C4" w14:textId="0EECCC37" w:rsidR="004535DB" w:rsidRDefault="004535DB" w:rsidP="004535DB">
                      <w:pPr>
                        <w:jc w:val="center"/>
                      </w:pPr>
                      <w:r>
                        <w:t>2022</w:t>
                      </w:r>
                    </w:p>
                  </w:txbxContent>
                </v:textbox>
                <w10:wrap anchorx="margin"/>
              </v:shape>
            </w:pict>
          </mc:Fallback>
        </mc:AlternateContent>
      </w:r>
      <w:r w:rsidRPr="004535DB">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4110B184" wp14:editId="64F46DDE">
                <wp:simplePos x="0" y="0"/>
                <wp:positionH relativeFrom="margin">
                  <wp:posOffset>4608703</wp:posOffset>
                </wp:positionH>
                <wp:positionV relativeFrom="paragraph">
                  <wp:posOffset>2259381</wp:posOffset>
                </wp:positionV>
                <wp:extent cx="972921" cy="234087"/>
                <wp:effectExtent l="0" t="0" r="0" b="13970"/>
                <wp:wrapNone/>
                <wp:docPr id="582067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1" cy="234087"/>
                        </a:xfrm>
                        <a:prstGeom prst="rect">
                          <a:avLst/>
                        </a:prstGeom>
                        <a:noFill/>
                        <a:ln w="9525">
                          <a:noFill/>
                          <a:miter lim="800000"/>
                          <a:headEnd/>
                          <a:tailEnd/>
                        </a:ln>
                      </wps:spPr>
                      <wps:txbx>
                        <w:txbxContent>
                          <w:p w14:paraId="2DA2B3C5" w14:textId="3F8DE28E" w:rsidR="004535DB" w:rsidRDefault="004535DB" w:rsidP="004535DB">
                            <w:pPr>
                              <w:jc w:val="center"/>
                            </w:pPr>
                            <w:r>
                              <w:t>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0B184" id="_x0000_s1027" type="#_x0000_t202" style="position:absolute;left:0;text-align:left;margin-left:362.9pt;margin-top:177.9pt;width:76.6pt;height:1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" filled="f" stroked="f">
                <v:textbox inset="0,0,0,0">
                  <w:txbxContent>
                    <w:p w14:paraId="2DA2B3C5" w14:textId="3F8DE28E" w:rsidR="004535DB" w:rsidRDefault="004535DB" w:rsidP="004535DB">
                      <w:pPr>
                        <w:jc w:val="center"/>
                      </w:pPr>
                      <w:r>
                        <w:t>2023</w:t>
                      </w:r>
                    </w:p>
                  </w:txbxContent>
                </v:textbox>
                <w10:wrap anchorx="margin"/>
              </v:shape>
            </w:pict>
          </mc:Fallback>
        </mc:AlternateContent>
      </w:r>
      <w:r w:rsidRPr="004535DB">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01EC58B8" wp14:editId="386DF0E0">
                <wp:simplePos x="0" y="0"/>
                <wp:positionH relativeFrom="margin">
                  <wp:posOffset>1507947</wp:posOffset>
                </wp:positionH>
                <wp:positionV relativeFrom="paragraph">
                  <wp:posOffset>2230273</wp:posOffset>
                </wp:positionV>
                <wp:extent cx="972921" cy="234087"/>
                <wp:effectExtent l="0" t="0" r="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921" cy="234087"/>
                        </a:xfrm>
                        <a:prstGeom prst="rect">
                          <a:avLst/>
                        </a:prstGeom>
                        <a:noFill/>
                        <a:ln w="9525">
                          <a:noFill/>
                          <a:miter lim="800000"/>
                          <a:headEnd/>
                          <a:tailEnd/>
                        </a:ln>
                      </wps:spPr>
                      <wps:txbx>
                        <w:txbxContent>
                          <w:p w14:paraId="3761FAAB" w14:textId="4B3C5B2F" w:rsidR="004535DB" w:rsidRDefault="004535DB" w:rsidP="004535DB">
                            <w:pPr>
                              <w:jc w:val="center"/>
                            </w:pPr>
                            <w:r>
                              <w:t>2021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C58B8" id="_x0000_s1028" type="#_x0000_t202" style="position:absolute;left:0;text-align:left;margin-left:118.75pt;margin-top:175.6pt;width:76.6pt;height:1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" filled="f" stroked="f">
                <v:textbox inset="0,0,0,0">
                  <w:txbxContent>
                    <w:p w14:paraId="3761FAAB" w14:textId="4B3C5B2F" w:rsidR="004535DB" w:rsidRDefault="004535DB" w:rsidP="004535DB">
                      <w:pPr>
                        <w:jc w:val="center"/>
                      </w:pPr>
                      <w:r>
                        <w:t>2021</w:t>
                      </w:r>
                    </w:p>
                  </w:txbxContent>
                </v:textbox>
                <w10:wrap anchorx="margin"/>
              </v:shape>
            </w:pict>
          </mc:Fallback>
        </mc:AlternateContent>
      </w:r>
      <w:r w:rsidR="00E8526D" w:rsidRPr="00E8526D">
        <w:rPr>
          <w:rFonts w:ascii="Times New Roman" w:hAnsi="Times New Roman" w:cs="Times New Roman"/>
          <w:sz w:val="28"/>
          <w:szCs w:val="28"/>
        </w:rPr>
        <w:drawing>
          <wp:inline distT="0" distB="0" distL="0" distR="0" wp14:anchorId="688EDCCE" wp14:editId="4F26B586">
            <wp:extent cx="5029200" cy="2501798"/>
            <wp:effectExtent l="0" t="0" r="0" b="0"/>
            <wp:docPr id="2041707577" name="Chart 1">
              <a:extLst xmlns:a="http://schemas.openxmlformats.org/drawingml/2006/main">
                <a:ext uri="{FF2B5EF4-FFF2-40B4-BE49-F238E27FC236}">
                  <a16:creationId xmlns:a16="http://schemas.microsoft.com/office/drawing/2014/main" id="{8C4C0F48-08EA-0F87-A5BD-2B974A0A8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FE526C" w14:textId="6DFAF56A" w:rsidR="00E8526D" w:rsidRDefault="00E8526D" w:rsidP="00E8526D">
      <w:pPr>
        <w:spacing w:after="240" w:line="312" w:lineRule="auto"/>
        <w:jc w:val="center"/>
        <w:rPr>
          <w:rFonts w:ascii="Times New Roman" w:hAnsi="Times New Roman" w:cs="Times New Roman"/>
        </w:rPr>
      </w:pPr>
      <w:r w:rsidRPr="00353C23">
        <w:rPr>
          <w:rFonts w:ascii="Times New Roman" w:hAnsi="Times New Roman" w:cs="Times New Roman"/>
          <w:i/>
          <w:iCs/>
        </w:rPr>
        <w:t>Nguồn</w:t>
      </w:r>
      <w:r w:rsidRPr="00353C23">
        <w:rPr>
          <w:rFonts w:ascii="Times New Roman" w:hAnsi="Times New Roman" w:cs="Times New Roman"/>
        </w:rPr>
        <w:t xml:space="preserve">: Tổng cục </w:t>
      </w:r>
      <w:r w:rsidR="00406761">
        <w:rPr>
          <w:rFonts w:ascii="Times New Roman" w:hAnsi="Times New Roman" w:cs="Times New Roman"/>
        </w:rPr>
        <w:t>Hải quan</w:t>
      </w:r>
      <w:r w:rsidRPr="00353C23">
        <w:rPr>
          <w:rFonts w:ascii="Times New Roman" w:hAnsi="Times New Roman" w:cs="Times New Roman"/>
        </w:rPr>
        <w:t xml:space="preserve"> Việt Nam.</w:t>
      </w:r>
    </w:p>
    <w:p w14:paraId="75F861E9" w14:textId="77777777" w:rsidR="00C90F6E" w:rsidRDefault="00C90F6E" w:rsidP="00C90F6E">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Với kế hoạch đầu tư công được Quốc hội phê duyệt và Thủ tướng Chính phủ giao năm 2023 là 707 nghìn tỷ VND (30,1 tỷ USD), nếu giải ngân được 95% kế hoạch sẽ tăng 24,6% so với 2022 và công thêm khoảng 1,2-1,3 điểm % vào tốc độ tăng trưởng. Tỷ lệ này đòi hỏi mức độ chi cho đầu tư rất lớn trong nửa cuối năm 2023.</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Nếu đạt được, thì tốc độ tăng 5,5% hoặc có thể lên đến 5,8% là có thể đạt được.</w:t>
      </w:r>
    </w:p>
    <w:p w14:paraId="6FB989CD" w14:textId="456BE7D9" w:rsidR="008D6B4B" w:rsidRDefault="008D6B4B" w:rsidP="008D6B4B">
      <w:pPr>
        <w:keepNext/>
        <w:keepLines/>
        <w:spacing w:before="120" w:after="120" w:line="312" w:lineRule="auto"/>
        <w:jc w:val="center"/>
        <w:rPr>
          <w:rFonts w:ascii="Times New Roman" w:hAnsi="Times New Roman" w:cs="Times New Roman"/>
          <w:b/>
          <w:bCs/>
          <w:sz w:val="28"/>
          <w:szCs w:val="28"/>
        </w:rPr>
      </w:pPr>
      <w:r w:rsidRPr="00D05583">
        <w:rPr>
          <w:rFonts w:ascii="Times New Roman" w:hAnsi="Times New Roman" w:cs="Times New Roman"/>
          <w:b/>
          <w:bCs/>
          <w:sz w:val="28"/>
          <w:szCs w:val="28"/>
        </w:rPr>
        <w:t xml:space="preserve">Hình </w:t>
      </w:r>
      <w:r>
        <w:rPr>
          <w:rFonts w:ascii="Times New Roman" w:hAnsi="Times New Roman" w:cs="Times New Roman"/>
          <w:b/>
          <w:bCs/>
          <w:sz w:val="28"/>
          <w:szCs w:val="28"/>
        </w:rPr>
        <w:t>3</w:t>
      </w:r>
      <w:r w:rsidRPr="00D05583">
        <w:rPr>
          <w:rFonts w:ascii="Times New Roman" w:hAnsi="Times New Roman" w:cs="Times New Roman"/>
          <w:b/>
          <w:bCs/>
          <w:sz w:val="28"/>
          <w:szCs w:val="28"/>
        </w:rPr>
        <w:t xml:space="preserve">: </w:t>
      </w:r>
      <w:r w:rsidR="004C62CA">
        <w:rPr>
          <w:rFonts w:ascii="Times New Roman" w:hAnsi="Times New Roman" w:cs="Times New Roman"/>
          <w:b/>
          <w:bCs/>
          <w:sz w:val="28"/>
          <w:szCs w:val="28"/>
        </w:rPr>
        <w:t>Giải ngân đầu tư công</w:t>
      </w:r>
    </w:p>
    <w:p w14:paraId="3A8F2EDD" w14:textId="388355D3" w:rsidR="00BD4BE7" w:rsidRPr="00D05583" w:rsidRDefault="00BD4BE7" w:rsidP="008D6B4B">
      <w:pPr>
        <w:keepNext/>
        <w:keepLines/>
        <w:spacing w:before="120" w:after="120" w:line="312" w:lineRule="auto"/>
        <w:jc w:val="center"/>
        <w:rPr>
          <w:rFonts w:ascii="Times New Roman" w:hAnsi="Times New Roman" w:cs="Times New Roman"/>
          <w:b/>
          <w:bCs/>
          <w:sz w:val="28"/>
          <w:szCs w:val="28"/>
        </w:rPr>
      </w:pPr>
      <w:r>
        <w:rPr>
          <w:rFonts w:ascii="Times New Roman" w:hAnsi="Times New Roman" w:cs="Times New Roman"/>
          <w:b/>
          <w:bCs/>
          <w:sz w:val="28"/>
          <w:szCs w:val="28"/>
        </w:rPr>
        <w:t>Tỷ lệ giải ngân hàng tháng so với KH Thủ tướng Chính phủ giao</w:t>
      </w:r>
    </w:p>
    <w:p w14:paraId="3FBAA27D" w14:textId="312C3C57" w:rsidR="00C90F6E" w:rsidRPr="00353C23" w:rsidRDefault="00BD4BE7" w:rsidP="00E8526D">
      <w:pPr>
        <w:spacing w:after="240" w:line="312" w:lineRule="auto"/>
        <w:jc w:val="center"/>
        <w:rPr>
          <w:rFonts w:ascii="Times New Roman" w:hAnsi="Times New Roman" w:cs="Times New Roman"/>
        </w:rPr>
      </w:pPr>
      <w:r w:rsidRPr="00BD4BE7">
        <w:rPr>
          <w:rFonts w:ascii="Times New Roman" w:hAnsi="Times New Roman" w:cs="Times New Roman"/>
        </w:rPr>
        <w:drawing>
          <wp:inline distT="0" distB="0" distL="0" distR="0" wp14:anchorId="09139214" wp14:editId="585EB882">
            <wp:extent cx="6086742" cy="2743199"/>
            <wp:effectExtent l="0" t="0" r="0" b="635"/>
            <wp:docPr id="262435111" name="Chart 1">
              <a:extLst xmlns:a="http://schemas.openxmlformats.org/drawingml/2006/main">
                <a:ext uri="{FF2B5EF4-FFF2-40B4-BE49-F238E27FC236}">
                  <a16:creationId xmlns:a16="http://schemas.microsoft.com/office/drawing/2014/main" id="{1F6C5514-EF44-2404-F67A-426062E10C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0A005D" w14:textId="612657B2" w:rsidR="00BD4BE7" w:rsidRPr="00D05583" w:rsidRDefault="00BD4BE7" w:rsidP="00BD4BE7">
      <w:pPr>
        <w:keepNext/>
        <w:keepLines/>
        <w:spacing w:before="120" w:after="120"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Số tuyệt đối giải ngân </w:t>
      </w:r>
      <w:r>
        <w:rPr>
          <w:rFonts w:ascii="Times New Roman" w:hAnsi="Times New Roman" w:cs="Times New Roman"/>
          <w:b/>
          <w:bCs/>
          <w:sz w:val="28"/>
          <w:szCs w:val="28"/>
        </w:rPr>
        <w:t xml:space="preserve">hàng tháng </w:t>
      </w:r>
      <w:r>
        <w:rPr>
          <w:rFonts w:ascii="Times New Roman" w:hAnsi="Times New Roman" w:cs="Times New Roman"/>
          <w:b/>
          <w:bCs/>
          <w:sz w:val="28"/>
          <w:szCs w:val="28"/>
        </w:rPr>
        <w:t>(quy đổi ra tỷ USD)</w:t>
      </w:r>
    </w:p>
    <w:p w14:paraId="6A0B0804" w14:textId="59E2362F" w:rsidR="00E8526D" w:rsidRDefault="009C72B4" w:rsidP="005C2EE2">
      <w:pPr>
        <w:spacing w:before="120" w:after="120" w:line="240" w:lineRule="auto"/>
        <w:jc w:val="center"/>
        <w:rPr>
          <w:rFonts w:ascii="Times New Roman" w:hAnsi="Times New Roman" w:cs="Times New Roman"/>
          <w:sz w:val="28"/>
          <w:szCs w:val="28"/>
        </w:rPr>
      </w:pPr>
      <w:r w:rsidRPr="009C72B4">
        <w:rPr>
          <w:rFonts w:ascii="Times New Roman" w:hAnsi="Times New Roman" w:cs="Times New Roman"/>
          <w:sz w:val="28"/>
          <w:szCs w:val="28"/>
        </w:rPr>
        <w:drawing>
          <wp:inline distT="0" distB="0" distL="0" distR="0" wp14:anchorId="56458B74" wp14:editId="37FF5755">
            <wp:extent cx="6086742" cy="2209799"/>
            <wp:effectExtent l="0" t="0" r="0" b="635"/>
            <wp:docPr id="1289327426" name="Chart 1">
              <a:extLst xmlns:a="http://schemas.openxmlformats.org/drawingml/2006/main">
                <a:ext uri="{FF2B5EF4-FFF2-40B4-BE49-F238E27FC236}">
                  <a16:creationId xmlns:a16="http://schemas.microsoft.com/office/drawing/2014/main" id="{08C2A5A9-10FA-7435-7E12-9B1FEED9E8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6E3636" w14:textId="647C8843" w:rsidR="00C81319" w:rsidRDefault="00C81319" w:rsidP="00C81319">
      <w:pPr>
        <w:spacing w:after="240" w:line="312" w:lineRule="auto"/>
        <w:jc w:val="center"/>
        <w:rPr>
          <w:rFonts w:ascii="Times New Roman" w:hAnsi="Times New Roman" w:cs="Times New Roman"/>
        </w:rPr>
      </w:pPr>
      <w:r w:rsidRPr="00353C23">
        <w:rPr>
          <w:rFonts w:ascii="Times New Roman" w:hAnsi="Times New Roman" w:cs="Times New Roman"/>
          <w:i/>
          <w:iCs/>
        </w:rPr>
        <w:t>Nguồn</w:t>
      </w:r>
      <w:r w:rsidRPr="00353C23">
        <w:rPr>
          <w:rFonts w:ascii="Times New Roman" w:hAnsi="Times New Roman" w:cs="Times New Roman"/>
        </w:rPr>
        <w:t xml:space="preserve">: </w:t>
      </w:r>
      <w:r w:rsidR="00AB1D91">
        <w:rPr>
          <w:rFonts w:ascii="Times New Roman" w:hAnsi="Times New Roman" w:cs="Times New Roman"/>
        </w:rPr>
        <w:t>Bộ Tài chính Việt Nam</w:t>
      </w:r>
      <w:r w:rsidRPr="00353C23">
        <w:rPr>
          <w:rFonts w:ascii="Times New Roman" w:hAnsi="Times New Roman" w:cs="Times New Roman"/>
        </w:rPr>
        <w:t>.</w:t>
      </w:r>
    </w:p>
    <w:p w14:paraId="40284866" w14:textId="77777777" w:rsidR="00C81319" w:rsidRPr="004E3D8F" w:rsidRDefault="00C81319" w:rsidP="00C81319">
      <w:pPr>
        <w:spacing w:before="120" w:after="120" w:line="312" w:lineRule="auto"/>
        <w:jc w:val="center"/>
        <w:rPr>
          <w:rFonts w:ascii="Times New Roman" w:hAnsi="Times New Roman" w:cs="Times New Roman"/>
          <w:sz w:val="28"/>
          <w:szCs w:val="28"/>
        </w:rPr>
      </w:pPr>
    </w:p>
    <w:p w14:paraId="5688ADA5" w14:textId="4DEB72A4" w:rsidR="00D23E24" w:rsidRPr="000F2415" w:rsidRDefault="00D23E24" w:rsidP="00D23E24">
      <w:pPr>
        <w:pStyle w:val="ListParagraph"/>
        <w:keepNext/>
        <w:keepLines/>
        <w:numPr>
          <w:ilvl w:val="0"/>
          <w:numId w:val="2"/>
        </w:numPr>
        <w:spacing w:before="120" w:after="120" w:line="312" w:lineRule="auto"/>
        <w:ind w:hanging="720"/>
        <w:jc w:val="both"/>
        <w:rPr>
          <w:rFonts w:ascii="Times New Roman" w:hAnsi="Times New Roman" w:cs="Times New Roman"/>
          <w:b/>
          <w:bCs/>
          <w:sz w:val="28"/>
          <w:szCs w:val="28"/>
        </w:rPr>
      </w:pPr>
      <w:r w:rsidRPr="000F2415">
        <w:rPr>
          <w:rFonts w:ascii="Times New Roman" w:hAnsi="Times New Roman" w:cs="Times New Roman"/>
          <w:b/>
          <w:bCs/>
          <w:sz w:val="28"/>
          <w:szCs w:val="28"/>
        </w:rPr>
        <w:lastRenderedPageBreak/>
        <w:t xml:space="preserve">Triển vọng tăng trưởng kinh tế </w:t>
      </w:r>
      <w:r w:rsidR="00141AC3">
        <w:rPr>
          <w:rFonts w:ascii="Times New Roman" w:hAnsi="Times New Roman" w:cs="Times New Roman"/>
          <w:b/>
          <w:bCs/>
          <w:sz w:val="28"/>
          <w:szCs w:val="28"/>
        </w:rPr>
        <w:t>trung</w:t>
      </w:r>
      <w:r w:rsidRPr="000F2415">
        <w:rPr>
          <w:rFonts w:ascii="Times New Roman" w:hAnsi="Times New Roman" w:cs="Times New Roman"/>
          <w:b/>
          <w:bCs/>
          <w:sz w:val="28"/>
          <w:szCs w:val="28"/>
        </w:rPr>
        <w:t xml:space="preserve"> hạn</w:t>
      </w:r>
      <w:r w:rsidR="00F34DA5">
        <w:rPr>
          <w:rFonts w:ascii="Times New Roman" w:hAnsi="Times New Roman" w:cs="Times New Roman"/>
          <w:b/>
          <w:bCs/>
          <w:sz w:val="28"/>
          <w:szCs w:val="28"/>
        </w:rPr>
        <w:t>, 2024-2026</w:t>
      </w:r>
    </w:p>
    <w:p w14:paraId="5B301E9B" w14:textId="31160DCE" w:rsidR="00D23E24" w:rsidRDefault="003E42BF"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Yêu cầu tăng trưởng kinh tế với tốc độ 7%/năm trong 3 năm tới sẽ là rất thách thức đối với nền kinh tế Việt Nam. C</w:t>
      </w:r>
      <w:r w:rsidR="008831EA">
        <w:rPr>
          <w:rFonts w:ascii="Times New Roman" w:hAnsi="Times New Roman" w:cs="Times New Roman"/>
          <w:sz w:val="28"/>
          <w:szCs w:val="28"/>
        </w:rPr>
        <w:t>o</w:t>
      </w:r>
      <w:r>
        <w:rPr>
          <w:rFonts w:ascii="Times New Roman" w:hAnsi="Times New Roman" w:cs="Times New Roman"/>
          <w:sz w:val="28"/>
          <w:szCs w:val="28"/>
        </w:rPr>
        <w:t xml:space="preserve">n số này đòi hỏi </w:t>
      </w:r>
      <w:r w:rsidR="005A7DF9">
        <w:rPr>
          <w:rFonts w:ascii="Times New Roman" w:hAnsi="Times New Roman" w:cs="Times New Roman"/>
          <w:sz w:val="28"/>
          <w:szCs w:val="28"/>
        </w:rPr>
        <w:t xml:space="preserve">tiêu dùng nội địa tăng 7%, xuất khẩu tăng 8,5% </w:t>
      </w:r>
      <w:r w:rsidR="008831EA">
        <w:rPr>
          <w:rFonts w:ascii="Times New Roman" w:hAnsi="Times New Roman" w:cs="Times New Roman"/>
          <w:sz w:val="28"/>
          <w:szCs w:val="28"/>
        </w:rPr>
        <w:t xml:space="preserve">(nhập khẩu có thể tăng cao hơn) </w:t>
      </w:r>
      <w:r w:rsidR="005A7DF9">
        <w:rPr>
          <w:rFonts w:ascii="Times New Roman" w:hAnsi="Times New Roman" w:cs="Times New Roman"/>
          <w:sz w:val="28"/>
          <w:szCs w:val="28"/>
        </w:rPr>
        <w:t xml:space="preserve">và đặc biệt là </w:t>
      </w:r>
      <w:r w:rsidR="008831EA">
        <w:rPr>
          <w:rFonts w:ascii="Times New Roman" w:hAnsi="Times New Roman" w:cs="Times New Roman"/>
          <w:sz w:val="28"/>
          <w:szCs w:val="28"/>
        </w:rPr>
        <w:t xml:space="preserve">tổng </w:t>
      </w:r>
      <w:r w:rsidR="005A7DF9">
        <w:rPr>
          <w:rFonts w:ascii="Times New Roman" w:hAnsi="Times New Roman" w:cs="Times New Roman"/>
          <w:sz w:val="28"/>
          <w:szCs w:val="28"/>
        </w:rPr>
        <w:t xml:space="preserve">đầu tư tăng </w:t>
      </w:r>
      <w:r w:rsidR="008831EA">
        <w:rPr>
          <w:rFonts w:ascii="Times New Roman" w:hAnsi="Times New Roman" w:cs="Times New Roman"/>
          <w:sz w:val="28"/>
          <w:szCs w:val="28"/>
        </w:rPr>
        <w:t>9%.</w:t>
      </w:r>
      <w:r w:rsidR="005C7361">
        <w:rPr>
          <w:rStyle w:val="FootnoteReference"/>
          <w:rFonts w:ascii="Times New Roman" w:hAnsi="Times New Roman" w:cs="Times New Roman"/>
          <w:sz w:val="28"/>
          <w:szCs w:val="28"/>
        </w:rPr>
        <w:footnoteReference w:id="2"/>
      </w:r>
      <w:r w:rsidR="00A666AD">
        <w:rPr>
          <w:rFonts w:ascii="Times New Roman" w:hAnsi="Times New Roman" w:cs="Times New Roman"/>
          <w:sz w:val="28"/>
          <w:szCs w:val="28"/>
        </w:rPr>
        <w:t xml:space="preserve"> Còn phía các khu vực kinh tế sản xuất kinh doanh, nông nghiệp tăng 3%, công nghiệp 7-7,2% và dịch vụ 6,8-7%. Kịch bản này đòi hỏi </w:t>
      </w:r>
      <w:r w:rsidR="00722BAA">
        <w:rPr>
          <w:rFonts w:ascii="Times New Roman" w:hAnsi="Times New Roman" w:cs="Times New Roman"/>
          <w:sz w:val="28"/>
          <w:szCs w:val="28"/>
        </w:rPr>
        <w:t xml:space="preserve">ổn định kinh tế vĩ mô được duy trì </w:t>
      </w:r>
      <w:r w:rsidR="00781E09">
        <w:rPr>
          <w:rFonts w:ascii="Times New Roman" w:hAnsi="Times New Roman" w:cs="Times New Roman"/>
          <w:sz w:val="28"/>
          <w:szCs w:val="28"/>
        </w:rPr>
        <w:t>và các chính sách vĩ mô không bị đảo chiều theo hướng “giật cục”.</w:t>
      </w:r>
    </w:p>
    <w:p w14:paraId="5C3DC45A" w14:textId="2BBCA83E" w:rsidR="005C7361" w:rsidRDefault="005C7361"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theo tính toán của tác giả, mặc dù đầu tư trực tiếp nước ngoài (FDI) sẽ ở mức cao (giải ngân trên dưới 15 tỷ USD/năm), đầu tư tư nhân có thể phục hồi so với 2022 nếu mặt bằng lãi suất thấp được duy trì, nhưng để tổng đầu tư tăng 9% </w:t>
      </w:r>
      <w:r w:rsidR="00B66F09">
        <w:rPr>
          <w:rFonts w:ascii="Times New Roman" w:hAnsi="Times New Roman" w:cs="Times New Roman"/>
          <w:sz w:val="28"/>
          <w:szCs w:val="28"/>
        </w:rPr>
        <w:t xml:space="preserve">thì đầu tư công vẫn phải là động lực quan trọng. Theo kế hoạch ngân sách nhà nước và đầu tư công trung hạn hiện hữu, thì quy mô tuyệt đối của chi đầu tư từ nguồn vốn ngân sách sẽ giảm vào năm 2024 và 2025. </w:t>
      </w:r>
      <w:r w:rsidR="00EE7537">
        <w:rPr>
          <w:rFonts w:ascii="Times New Roman" w:hAnsi="Times New Roman" w:cs="Times New Roman"/>
          <w:sz w:val="28"/>
          <w:szCs w:val="28"/>
        </w:rPr>
        <w:t>Nhưng nếu theo</w:t>
      </w:r>
      <w:r w:rsidR="00B66F09">
        <w:rPr>
          <w:rFonts w:ascii="Times New Roman" w:hAnsi="Times New Roman" w:cs="Times New Roman"/>
          <w:sz w:val="28"/>
          <w:szCs w:val="28"/>
        </w:rPr>
        <w:t xml:space="preserve"> kế hoạch này, </w:t>
      </w:r>
      <w:r w:rsidR="00EE7537">
        <w:rPr>
          <w:rFonts w:ascii="Times New Roman" w:hAnsi="Times New Roman" w:cs="Times New Roman"/>
          <w:sz w:val="28"/>
          <w:szCs w:val="28"/>
        </w:rPr>
        <w:t>đầu tư sẽ khó có thể là động lực cho tăng trưởng trung hạn, đặc biết là khu vực bất động sản và xây dựng tư nhân sẽ không thể phục hồi nhanh chóng trong thời gian tới.</w:t>
      </w:r>
    </w:p>
    <w:p w14:paraId="32A2DD96" w14:textId="579B0A97" w:rsidR="00EE7537" w:rsidRDefault="001C4E7D" w:rsidP="001C4E7D">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K</w:t>
      </w:r>
      <w:r w:rsidRPr="001C4E7D">
        <w:rPr>
          <w:rFonts w:ascii="Times New Roman" w:hAnsi="Times New Roman" w:cs="Times New Roman"/>
          <w:sz w:val="28"/>
          <w:szCs w:val="28"/>
        </w:rPr>
        <w:t xml:space="preserve">ế hoạch </w:t>
      </w:r>
      <w:r>
        <w:rPr>
          <w:rFonts w:ascii="Times New Roman" w:hAnsi="Times New Roman" w:cs="Times New Roman"/>
          <w:sz w:val="28"/>
          <w:szCs w:val="28"/>
        </w:rPr>
        <w:t xml:space="preserve">ngân sách nhà nước trong đó có </w:t>
      </w:r>
      <w:r w:rsidRPr="001C4E7D">
        <w:rPr>
          <w:rFonts w:ascii="Times New Roman" w:hAnsi="Times New Roman" w:cs="Times New Roman"/>
          <w:sz w:val="28"/>
          <w:szCs w:val="28"/>
        </w:rPr>
        <w:t xml:space="preserve">đầu tư công trung hạn </w:t>
      </w:r>
      <w:r>
        <w:rPr>
          <w:rFonts w:ascii="Times New Roman" w:hAnsi="Times New Roman" w:cs="Times New Roman"/>
          <w:sz w:val="28"/>
          <w:szCs w:val="28"/>
        </w:rPr>
        <w:t xml:space="preserve">cần được điều </w:t>
      </w:r>
      <w:r w:rsidRPr="001C4E7D">
        <w:rPr>
          <w:rFonts w:ascii="Times New Roman" w:hAnsi="Times New Roman" w:cs="Times New Roman"/>
          <w:sz w:val="28"/>
          <w:szCs w:val="28"/>
        </w:rPr>
        <w:t>theo hướng tăng mạnh hơn đầu tư công</w:t>
      </w:r>
      <w:r>
        <w:rPr>
          <w:rFonts w:ascii="Times New Roman" w:hAnsi="Times New Roman" w:cs="Times New Roman"/>
          <w:sz w:val="28"/>
          <w:szCs w:val="28"/>
        </w:rPr>
        <w:t xml:space="preserve">. Quy mô tuyệt đối của đầu tư công năm 2023 là trên 700 nghìn tỷ (30,1 tỷ USD). Nền kinh tế Việt Nam cần </w:t>
      </w:r>
      <w:r w:rsidRPr="001C4E7D">
        <w:rPr>
          <w:rFonts w:ascii="Times New Roman" w:hAnsi="Times New Roman" w:cs="Times New Roman"/>
          <w:sz w:val="28"/>
          <w:szCs w:val="28"/>
        </w:rPr>
        <w:t>3</w:t>
      </w:r>
      <w:r w:rsidR="004F572B">
        <w:rPr>
          <w:rFonts w:ascii="Times New Roman" w:hAnsi="Times New Roman" w:cs="Times New Roman"/>
          <w:sz w:val="28"/>
          <w:szCs w:val="28"/>
        </w:rPr>
        <w:t>2</w:t>
      </w:r>
      <w:r w:rsidRPr="001C4E7D">
        <w:rPr>
          <w:rFonts w:ascii="Times New Roman" w:hAnsi="Times New Roman" w:cs="Times New Roman"/>
          <w:sz w:val="28"/>
          <w:szCs w:val="28"/>
        </w:rPr>
        <w:t xml:space="preserve">-35 tỷ USD/năm </w:t>
      </w:r>
      <w:r>
        <w:rPr>
          <w:rFonts w:ascii="Times New Roman" w:hAnsi="Times New Roman" w:cs="Times New Roman"/>
          <w:sz w:val="28"/>
          <w:szCs w:val="28"/>
        </w:rPr>
        <w:t xml:space="preserve">đầu tư công </w:t>
      </w:r>
      <w:r w:rsidR="00CC77CA">
        <w:rPr>
          <w:rFonts w:ascii="Times New Roman" w:hAnsi="Times New Roman" w:cs="Times New Roman"/>
          <w:sz w:val="28"/>
          <w:szCs w:val="28"/>
        </w:rPr>
        <w:t>(</w:t>
      </w:r>
      <w:r w:rsidR="00FD5BF4">
        <w:rPr>
          <w:rFonts w:ascii="Times New Roman" w:hAnsi="Times New Roman" w:cs="Times New Roman"/>
          <w:sz w:val="28"/>
          <w:szCs w:val="28"/>
        </w:rPr>
        <w:t>7,5-</w:t>
      </w:r>
      <w:r w:rsidR="00CC77CA">
        <w:rPr>
          <w:rFonts w:ascii="Times New Roman" w:hAnsi="Times New Roman" w:cs="Times New Roman"/>
          <w:sz w:val="28"/>
          <w:szCs w:val="28"/>
        </w:rPr>
        <w:t xml:space="preserve">8% GDP) </w:t>
      </w:r>
      <w:r w:rsidRPr="001C4E7D">
        <w:rPr>
          <w:rFonts w:ascii="Times New Roman" w:hAnsi="Times New Roman" w:cs="Times New Roman"/>
          <w:sz w:val="28"/>
          <w:szCs w:val="28"/>
        </w:rPr>
        <w:t>trong giai đoạn 2024-26</w:t>
      </w:r>
      <w:r>
        <w:rPr>
          <w:rFonts w:ascii="Times New Roman" w:hAnsi="Times New Roman" w:cs="Times New Roman"/>
          <w:sz w:val="28"/>
          <w:szCs w:val="28"/>
        </w:rPr>
        <w:t>.</w:t>
      </w:r>
    </w:p>
    <w:p w14:paraId="2EFFEAA7" w14:textId="77180F2A" w:rsidR="00781E09" w:rsidRDefault="0017483C" w:rsidP="000605E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Quan trọng nhất là số vốn đầu tư công điều chỉnh tăng thêm cần được ưu tiên cho các dự án đầu tư cơ sở hạ tầng theo hướng chuyển đổi xanh và phát triển bền vững như sẽ được phân tích dưới đây.</w:t>
      </w:r>
    </w:p>
    <w:p w14:paraId="1C922E21" w14:textId="178D3B47" w:rsidR="00B66F09" w:rsidRPr="00BB639F" w:rsidRDefault="00E3146C" w:rsidP="00B66F09">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Chuyển đổi động lực tăng trưởng </w:t>
      </w:r>
      <w:r w:rsidR="005102FF">
        <w:rPr>
          <w:rFonts w:ascii="Times New Roman" w:hAnsi="Times New Roman" w:cs="Times New Roman"/>
          <w:b/>
          <w:bCs/>
          <w:sz w:val="28"/>
          <w:szCs w:val="28"/>
        </w:rPr>
        <w:t xml:space="preserve">về </w:t>
      </w:r>
      <w:r>
        <w:rPr>
          <w:rFonts w:ascii="Times New Roman" w:hAnsi="Times New Roman" w:cs="Times New Roman"/>
          <w:b/>
          <w:bCs/>
          <w:sz w:val="28"/>
          <w:szCs w:val="28"/>
        </w:rPr>
        <w:t xml:space="preserve">tiêu dùng và sản xuất trong nước theo hướng </w:t>
      </w:r>
      <w:r w:rsidR="005C2EE2">
        <w:rPr>
          <w:rFonts w:ascii="Times New Roman" w:hAnsi="Times New Roman" w:cs="Times New Roman"/>
          <w:b/>
          <w:bCs/>
          <w:sz w:val="28"/>
          <w:szCs w:val="28"/>
        </w:rPr>
        <w:t>tăng hiệu quả sử dụng năng lượng</w:t>
      </w:r>
    </w:p>
    <w:p w14:paraId="61806EE1" w14:textId="7F8283C0" w:rsidR="00A666AD" w:rsidRDefault="004F572B"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Xét về khía cạnh phát triển bền vững, hai trục trặc lớn trong mô hình tiêu dùng và sản xuất của Việt Nam là thâm dụng năng lượng cao và tạo nhiều chất thải không được tái chế - tái sử dụng.</w:t>
      </w:r>
    </w:p>
    <w:p w14:paraId="4F355150" w14:textId="7EBDDF28" w:rsidR="008831EA" w:rsidRDefault="00F07CAA" w:rsidP="002D6299">
      <w:pPr>
        <w:spacing w:before="120" w:after="120" w:line="312" w:lineRule="auto"/>
        <w:ind w:firstLine="720"/>
        <w:jc w:val="both"/>
        <w:rPr>
          <w:rFonts w:ascii="Times New Roman" w:hAnsi="Times New Roman" w:cs="Times New Roman"/>
          <w:sz w:val="28"/>
          <w:szCs w:val="28"/>
        </w:rPr>
      </w:pPr>
      <w:r w:rsidRPr="00F07CAA">
        <w:rPr>
          <w:rFonts w:ascii="Times New Roman" w:hAnsi="Times New Roman" w:cs="Times New Roman"/>
          <w:sz w:val="28"/>
          <w:szCs w:val="28"/>
        </w:rPr>
        <w:t>Từ năm 2017 đến 2019, tỷ lệ tăng trưởng sản lượng điện trên tăng trưởng GDP</w:t>
      </w:r>
      <w:r w:rsidR="00C64434">
        <w:rPr>
          <w:rFonts w:ascii="Times New Roman" w:hAnsi="Times New Roman" w:cs="Times New Roman"/>
          <w:sz w:val="28"/>
          <w:szCs w:val="28"/>
        </w:rPr>
        <w:t xml:space="preserve"> của Việt Nam (còn gọi là hệ số đàn hồi hay hệ số co giãn)</w:t>
      </w:r>
      <w:r w:rsidRPr="00F07CAA">
        <w:rPr>
          <w:rFonts w:ascii="Times New Roman" w:hAnsi="Times New Roman" w:cs="Times New Roman"/>
          <w:sz w:val="28"/>
          <w:szCs w:val="28"/>
        </w:rPr>
        <w:t xml:space="preserve"> là 1,25-1,3. Tỷ lệ này đã giảm xuống gần 1,1 vào năm 2020 và bình quân là 1,15 vào năm </w:t>
      </w:r>
      <w:r w:rsidR="004B657B">
        <w:rPr>
          <w:rFonts w:ascii="Times New Roman" w:hAnsi="Times New Roman" w:cs="Times New Roman"/>
          <w:sz w:val="28"/>
          <w:szCs w:val="28"/>
        </w:rPr>
        <w:t xml:space="preserve">hai năm Covid </w:t>
      </w:r>
      <w:r w:rsidRPr="00F07CAA">
        <w:rPr>
          <w:rFonts w:ascii="Times New Roman" w:hAnsi="Times New Roman" w:cs="Times New Roman"/>
          <w:sz w:val="28"/>
          <w:szCs w:val="28"/>
        </w:rPr>
        <w:t xml:space="preserve">2021-22. Trong nửa đầu năm </w:t>
      </w:r>
      <w:r w:rsidRPr="00F07CAA">
        <w:rPr>
          <w:rFonts w:ascii="Times New Roman" w:hAnsi="Times New Roman" w:cs="Times New Roman"/>
          <w:sz w:val="28"/>
          <w:szCs w:val="28"/>
        </w:rPr>
        <w:lastRenderedPageBreak/>
        <w:t>2023, tỷ lệ này giảm xuống dưới 0,5. Hiện tại, mức tiêu thụ điện bình quân đầu người của Việt Nam là 2</w:t>
      </w:r>
      <w:r w:rsidR="004B657B">
        <w:rPr>
          <w:rFonts w:ascii="Times New Roman" w:hAnsi="Times New Roman" w:cs="Times New Roman"/>
          <w:sz w:val="28"/>
          <w:szCs w:val="28"/>
        </w:rPr>
        <w:t>.</w:t>
      </w:r>
      <w:r w:rsidRPr="00F07CAA">
        <w:rPr>
          <w:rFonts w:ascii="Times New Roman" w:hAnsi="Times New Roman" w:cs="Times New Roman"/>
          <w:sz w:val="28"/>
          <w:szCs w:val="28"/>
        </w:rPr>
        <w:t>800 kWh</w:t>
      </w:r>
      <w:r w:rsidR="004B657B">
        <w:rPr>
          <w:rFonts w:ascii="Times New Roman" w:hAnsi="Times New Roman" w:cs="Times New Roman"/>
          <w:sz w:val="28"/>
          <w:szCs w:val="28"/>
        </w:rPr>
        <w:t>.</w:t>
      </w:r>
      <w:r w:rsidR="0011517A">
        <w:rPr>
          <w:rFonts w:ascii="Times New Roman" w:hAnsi="Times New Roman" w:cs="Times New Roman"/>
          <w:sz w:val="28"/>
          <w:szCs w:val="28"/>
        </w:rPr>
        <w:t xml:space="preserve"> </w:t>
      </w:r>
      <w:r w:rsidR="0011517A" w:rsidRPr="0011517A">
        <w:rPr>
          <w:rFonts w:ascii="Times New Roman" w:hAnsi="Times New Roman" w:cs="Times New Roman"/>
          <w:sz w:val="28"/>
          <w:szCs w:val="28"/>
        </w:rPr>
        <w:t>Nền kinh tế Việt Nam có cường độ sử dụng điện cao hơn cả Trung Quốc và cao gấp đôi Thái Lan.</w:t>
      </w:r>
      <w:r w:rsidR="00303503">
        <w:rPr>
          <w:rFonts w:ascii="Times New Roman" w:hAnsi="Times New Roman" w:cs="Times New Roman"/>
          <w:sz w:val="28"/>
          <w:szCs w:val="28"/>
        </w:rPr>
        <w:t xml:space="preserve"> Một trong những yêu cầu của chuyển đổi xanh là Việt Nam phải giảm cường độ sử dụng năng lượng, trong đó quan trọng nhất là sử dụng điện.</w:t>
      </w:r>
    </w:p>
    <w:p w14:paraId="5C5A2FE9" w14:textId="4C0BCF90" w:rsidR="000B4ECC" w:rsidRDefault="00303503"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Nếu không giảm </w:t>
      </w:r>
      <w:r w:rsidR="00C51D47">
        <w:rPr>
          <w:rFonts w:ascii="Times New Roman" w:hAnsi="Times New Roman" w:cs="Times New Roman"/>
          <w:sz w:val="28"/>
          <w:szCs w:val="28"/>
        </w:rPr>
        <w:t>được</w:t>
      </w:r>
      <w:r>
        <w:rPr>
          <w:rFonts w:ascii="Times New Roman" w:hAnsi="Times New Roman" w:cs="Times New Roman"/>
          <w:sz w:val="28"/>
          <w:szCs w:val="28"/>
        </w:rPr>
        <w:t xml:space="preserve"> cường độ sử dụng điện hay chỉ giảm ít thì </w:t>
      </w:r>
      <w:r w:rsidR="000B4ECC" w:rsidRPr="000B4ECC">
        <w:rPr>
          <w:rFonts w:ascii="Times New Roman" w:hAnsi="Times New Roman" w:cs="Times New Roman"/>
          <w:sz w:val="28"/>
          <w:szCs w:val="28"/>
        </w:rPr>
        <w:t xml:space="preserve">nhu cầu tiêu thụ điện của Việt Nam </w:t>
      </w:r>
      <w:r>
        <w:rPr>
          <w:rFonts w:ascii="Times New Roman" w:hAnsi="Times New Roman" w:cs="Times New Roman"/>
          <w:sz w:val="28"/>
          <w:szCs w:val="28"/>
        </w:rPr>
        <w:t xml:space="preserve">sẽ </w:t>
      </w:r>
      <w:r w:rsidR="000B4ECC" w:rsidRPr="000B4ECC">
        <w:rPr>
          <w:rFonts w:ascii="Times New Roman" w:hAnsi="Times New Roman" w:cs="Times New Roman"/>
          <w:sz w:val="28"/>
          <w:szCs w:val="28"/>
        </w:rPr>
        <w:t>tăng 7%</w:t>
      </w:r>
      <w:r>
        <w:rPr>
          <w:rFonts w:ascii="Times New Roman" w:hAnsi="Times New Roman" w:cs="Times New Roman"/>
          <w:sz w:val="28"/>
          <w:szCs w:val="28"/>
        </w:rPr>
        <w:t>/năm</w:t>
      </w:r>
      <w:r w:rsidR="000B4ECC" w:rsidRPr="000B4ECC">
        <w:rPr>
          <w:rFonts w:ascii="Times New Roman" w:hAnsi="Times New Roman" w:cs="Times New Roman"/>
          <w:sz w:val="28"/>
          <w:szCs w:val="28"/>
        </w:rPr>
        <w:t xml:space="preserve"> từ 2024 đến 2030</w:t>
      </w:r>
      <w:r>
        <w:rPr>
          <w:rFonts w:ascii="Times New Roman" w:hAnsi="Times New Roman" w:cs="Times New Roman"/>
          <w:sz w:val="28"/>
          <w:szCs w:val="28"/>
        </w:rPr>
        <w:t>. Theo kịch bản này</w:t>
      </w:r>
      <w:r w:rsidR="000B4ECC" w:rsidRPr="000B4ECC">
        <w:rPr>
          <w:rFonts w:ascii="Times New Roman" w:hAnsi="Times New Roman" w:cs="Times New Roman"/>
          <w:sz w:val="28"/>
          <w:szCs w:val="28"/>
        </w:rPr>
        <w:t xml:space="preserve">, </w:t>
      </w:r>
      <w:r>
        <w:rPr>
          <w:rFonts w:ascii="Times New Roman" w:hAnsi="Times New Roman" w:cs="Times New Roman"/>
          <w:sz w:val="28"/>
          <w:szCs w:val="28"/>
        </w:rPr>
        <w:t xml:space="preserve">tiêu thụ điện bình quân </w:t>
      </w:r>
      <w:r w:rsidR="000B4ECC" w:rsidRPr="000B4ECC">
        <w:rPr>
          <w:rFonts w:ascii="Times New Roman" w:hAnsi="Times New Roman" w:cs="Times New Roman"/>
          <w:sz w:val="28"/>
          <w:szCs w:val="28"/>
        </w:rPr>
        <w:t xml:space="preserve">đầu người </w:t>
      </w:r>
      <w:r>
        <w:rPr>
          <w:rFonts w:ascii="Times New Roman" w:hAnsi="Times New Roman" w:cs="Times New Roman"/>
          <w:sz w:val="28"/>
          <w:szCs w:val="28"/>
        </w:rPr>
        <w:t xml:space="preserve">của Việt Nam </w:t>
      </w:r>
      <w:r w:rsidR="000B4ECC" w:rsidRPr="000B4ECC">
        <w:rPr>
          <w:rFonts w:ascii="Times New Roman" w:hAnsi="Times New Roman" w:cs="Times New Roman"/>
          <w:sz w:val="28"/>
          <w:szCs w:val="28"/>
        </w:rPr>
        <w:t>sẽ đạt 4</w:t>
      </w:r>
      <w:r>
        <w:rPr>
          <w:rFonts w:ascii="Times New Roman" w:hAnsi="Times New Roman" w:cs="Times New Roman"/>
          <w:sz w:val="28"/>
          <w:szCs w:val="28"/>
        </w:rPr>
        <w:t>.</w:t>
      </w:r>
      <w:r w:rsidR="000B4ECC" w:rsidRPr="000B4ECC">
        <w:rPr>
          <w:rFonts w:ascii="Times New Roman" w:hAnsi="Times New Roman" w:cs="Times New Roman"/>
          <w:sz w:val="28"/>
          <w:szCs w:val="28"/>
        </w:rPr>
        <w:t xml:space="preserve">500 kWh, bằng với mức tiêu thụ hiện nay ở Anh. Trung Quốc </w:t>
      </w:r>
      <w:r>
        <w:rPr>
          <w:rFonts w:ascii="Times New Roman" w:hAnsi="Times New Roman" w:cs="Times New Roman"/>
          <w:sz w:val="28"/>
          <w:szCs w:val="28"/>
        </w:rPr>
        <w:t xml:space="preserve">hiện </w:t>
      </w:r>
      <w:r w:rsidR="000B4ECC" w:rsidRPr="000B4ECC">
        <w:rPr>
          <w:rFonts w:ascii="Times New Roman" w:hAnsi="Times New Roman" w:cs="Times New Roman"/>
          <w:sz w:val="28"/>
          <w:szCs w:val="28"/>
        </w:rPr>
        <w:t xml:space="preserve">tiêu thụ </w:t>
      </w:r>
      <w:r>
        <w:rPr>
          <w:rFonts w:ascii="Times New Roman" w:hAnsi="Times New Roman" w:cs="Times New Roman"/>
          <w:sz w:val="28"/>
          <w:szCs w:val="28"/>
        </w:rPr>
        <w:t xml:space="preserve">gần </w:t>
      </w:r>
      <w:r w:rsidR="000B4ECC" w:rsidRPr="000B4ECC">
        <w:rPr>
          <w:rFonts w:ascii="Times New Roman" w:hAnsi="Times New Roman" w:cs="Times New Roman"/>
          <w:sz w:val="28"/>
          <w:szCs w:val="28"/>
        </w:rPr>
        <w:t>6</w:t>
      </w:r>
      <w:r>
        <w:rPr>
          <w:rFonts w:ascii="Times New Roman" w:hAnsi="Times New Roman" w:cs="Times New Roman"/>
          <w:sz w:val="28"/>
          <w:szCs w:val="28"/>
        </w:rPr>
        <w:t>.</w:t>
      </w:r>
      <w:r w:rsidR="000B4ECC" w:rsidRPr="000B4ECC">
        <w:rPr>
          <w:rFonts w:ascii="Times New Roman" w:hAnsi="Times New Roman" w:cs="Times New Roman"/>
          <w:sz w:val="28"/>
          <w:szCs w:val="28"/>
        </w:rPr>
        <w:t xml:space="preserve">000 kWh trên đầu người, nhưng có GDP bình quân đầu người gấp ba lần mức hiện tại của Việt Nam. Vương quốc Anh là hơn </w:t>
      </w:r>
      <w:r w:rsidR="001E4113">
        <w:rPr>
          <w:rFonts w:ascii="Times New Roman" w:hAnsi="Times New Roman" w:cs="Times New Roman"/>
          <w:sz w:val="28"/>
          <w:szCs w:val="28"/>
        </w:rPr>
        <w:t>10</w:t>
      </w:r>
      <w:r w:rsidR="000B4ECC" w:rsidRPr="000B4ECC">
        <w:rPr>
          <w:rFonts w:ascii="Times New Roman" w:hAnsi="Times New Roman" w:cs="Times New Roman"/>
          <w:sz w:val="28"/>
          <w:szCs w:val="28"/>
        </w:rPr>
        <w:t xml:space="preserve"> lần. </w:t>
      </w:r>
      <w:r w:rsidR="00F002F7">
        <w:rPr>
          <w:rFonts w:ascii="Times New Roman" w:hAnsi="Times New Roman" w:cs="Times New Roman"/>
          <w:sz w:val="28"/>
          <w:szCs w:val="28"/>
        </w:rPr>
        <w:t xml:space="preserve">Ở kịch bản tăng trưởng lạc quan, </w:t>
      </w:r>
      <w:r w:rsidR="000B4ECC" w:rsidRPr="000B4ECC">
        <w:rPr>
          <w:rFonts w:ascii="Times New Roman" w:hAnsi="Times New Roman" w:cs="Times New Roman"/>
          <w:sz w:val="28"/>
          <w:szCs w:val="28"/>
        </w:rPr>
        <w:t xml:space="preserve">GDP bình quân đầu người của Việt Nam </w:t>
      </w:r>
      <w:r w:rsidR="00F002F7">
        <w:rPr>
          <w:rFonts w:ascii="Times New Roman" w:hAnsi="Times New Roman" w:cs="Times New Roman"/>
          <w:sz w:val="28"/>
          <w:szCs w:val="28"/>
        </w:rPr>
        <w:t xml:space="preserve">sẽ </w:t>
      </w:r>
      <w:r w:rsidR="000B4ECC" w:rsidRPr="000B4ECC">
        <w:rPr>
          <w:rFonts w:ascii="Times New Roman" w:hAnsi="Times New Roman" w:cs="Times New Roman"/>
          <w:sz w:val="28"/>
          <w:szCs w:val="28"/>
        </w:rPr>
        <w:t xml:space="preserve">đạt </w:t>
      </w:r>
      <w:r w:rsidR="00F002F7">
        <w:rPr>
          <w:rFonts w:ascii="Times New Roman" w:hAnsi="Times New Roman" w:cs="Times New Roman"/>
          <w:sz w:val="28"/>
          <w:szCs w:val="28"/>
        </w:rPr>
        <w:t xml:space="preserve">gần </w:t>
      </w:r>
      <w:r w:rsidR="000B4ECC" w:rsidRPr="000B4ECC">
        <w:rPr>
          <w:rFonts w:ascii="Times New Roman" w:hAnsi="Times New Roman" w:cs="Times New Roman"/>
          <w:sz w:val="28"/>
          <w:szCs w:val="28"/>
        </w:rPr>
        <w:t xml:space="preserve">7.000 USD </w:t>
      </w:r>
      <w:r w:rsidR="00F002F7">
        <w:rPr>
          <w:rFonts w:ascii="Times New Roman" w:hAnsi="Times New Roman" w:cs="Times New Roman"/>
          <w:sz w:val="28"/>
          <w:szCs w:val="28"/>
        </w:rPr>
        <w:t>vào năm 2030 (</w:t>
      </w:r>
      <w:r w:rsidR="000B4ECC" w:rsidRPr="000B4ECC">
        <w:rPr>
          <w:rFonts w:ascii="Times New Roman" w:hAnsi="Times New Roman" w:cs="Times New Roman"/>
          <w:sz w:val="28"/>
          <w:szCs w:val="28"/>
        </w:rPr>
        <w:t xml:space="preserve">theo giá </w:t>
      </w:r>
      <w:r w:rsidR="003B4357">
        <w:rPr>
          <w:rFonts w:ascii="Times New Roman" w:hAnsi="Times New Roman" w:cs="Times New Roman"/>
          <w:sz w:val="28"/>
          <w:szCs w:val="28"/>
        </w:rPr>
        <w:t>năm 2022</w:t>
      </w:r>
      <w:r w:rsidR="00F002F7">
        <w:rPr>
          <w:rFonts w:ascii="Times New Roman" w:hAnsi="Times New Roman" w:cs="Times New Roman"/>
          <w:sz w:val="28"/>
          <w:szCs w:val="28"/>
        </w:rPr>
        <w:t>)</w:t>
      </w:r>
      <w:r w:rsidR="000B4ECC" w:rsidRPr="000B4ECC">
        <w:rPr>
          <w:rFonts w:ascii="Times New Roman" w:hAnsi="Times New Roman" w:cs="Times New Roman"/>
          <w:sz w:val="28"/>
          <w:szCs w:val="28"/>
        </w:rPr>
        <w:t xml:space="preserve">, </w:t>
      </w:r>
      <w:r w:rsidR="00F002F7">
        <w:rPr>
          <w:rFonts w:ascii="Times New Roman" w:hAnsi="Times New Roman" w:cs="Times New Roman"/>
          <w:sz w:val="28"/>
          <w:szCs w:val="28"/>
        </w:rPr>
        <w:t xml:space="preserve">tức là </w:t>
      </w:r>
      <w:r w:rsidR="000B4ECC" w:rsidRPr="000B4ECC">
        <w:rPr>
          <w:rFonts w:ascii="Times New Roman" w:hAnsi="Times New Roman" w:cs="Times New Roman"/>
          <w:sz w:val="28"/>
          <w:szCs w:val="28"/>
        </w:rPr>
        <w:t>chỉ xấp xỉ một nửa mức GDP bình quân đầu người hiện tại của Trung Quốc.</w:t>
      </w:r>
      <w:r w:rsidR="00F002F7">
        <w:rPr>
          <w:rFonts w:ascii="Times New Roman" w:hAnsi="Times New Roman" w:cs="Times New Roman"/>
          <w:sz w:val="28"/>
          <w:szCs w:val="28"/>
        </w:rPr>
        <w:t xml:space="preserve"> Mức tiêu thụ điện 4.500</w:t>
      </w:r>
      <w:r w:rsidR="000B4ECC" w:rsidRPr="000B4ECC">
        <w:rPr>
          <w:rFonts w:ascii="Times New Roman" w:hAnsi="Times New Roman" w:cs="Times New Roman"/>
          <w:sz w:val="28"/>
          <w:szCs w:val="28"/>
        </w:rPr>
        <w:t xml:space="preserve"> </w:t>
      </w:r>
      <w:r w:rsidR="00F002F7" w:rsidRPr="000B4ECC">
        <w:rPr>
          <w:rFonts w:ascii="Times New Roman" w:hAnsi="Times New Roman" w:cs="Times New Roman"/>
          <w:sz w:val="28"/>
          <w:szCs w:val="28"/>
        </w:rPr>
        <w:t>kWh</w:t>
      </w:r>
      <w:r w:rsidR="00F002F7">
        <w:rPr>
          <w:rFonts w:ascii="Times New Roman" w:hAnsi="Times New Roman" w:cs="Times New Roman"/>
          <w:sz w:val="28"/>
          <w:szCs w:val="28"/>
        </w:rPr>
        <w:t>/người vào 2030 là quá lớn. Việt Nam cần phải tăng hiệu quả sử dụng điện và giảm độ co giãn từ mức trên 1 xuống thấp hơn 1</w:t>
      </w:r>
      <w:r w:rsidR="000B4ECC" w:rsidRPr="000B4ECC">
        <w:rPr>
          <w:rFonts w:ascii="Times New Roman" w:hAnsi="Times New Roman" w:cs="Times New Roman"/>
          <w:sz w:val="28"/>
          <w:szCs w:val="28"/>
        </w:rPr>
        <w:t xml:space="preserve">. </w:t>
      </w:r>
      <w:r w:rsidR="00F002F7">
        <w:rPr>
          <w:rFonts w:ascii="Times New Roman" w:hAnsi="Times New Roman" w:cs="Times New Roman"/>
          <w:sz w:val="28"/>
          <w:szCs w:val="28"/>
        </w:rPr>
        <w:t xml:space="preserve">Khi đó, </w:t>
      </w:r>
      <w:r w:rsidR="000B4ECC" w:rsidRPr="000B4ECC">
        <w:rPr>
          <w:rFonts w:ascii="Times New Roman" w:hAnsi="Times New Roman" w:cs="Times New Roman"/>
          <w:sz w:val="28"/>
          <w:szCs w:val="28"/>
        </w:rPr>
        <w:t>tăng trưởng nhu cầu điện trong tương lai sẽ là 5-6%</w:t>
      </w:r>
      <w:r w:rsidR="00F002F7">
        <w:rPr>
          <w:rFonts w:ascii="Times New Roman" w:hAnsi="Times New Roman" w:cs="Times New Roman"/>
          <w:sz w:val="28"/>
          <w:szCs w:val="28"/>
        </w:rPr>
        <w:t>/</w:t>
      </w:r>
      <w:r w:rsidR="000B4ECC" w:rsidRPr="000B4ECC">
        <w:rPr>
          <w:rFonts w:ascii="Times New Roman" w:hAnsi="Times New Roman" w:cs="Times New Roman"/>
          <w:sz w:val="28"/>
          <w:szCs w:val="28"/>
        </w:rPr>
        <w:t>năm cho đến 2030.</w:t>
      </w:r>
    </w:p>
    <w:p w14:paraId="010DB3F3" w14:textId="3CDD2CF5" w:rsidR="008507F2" w:rsidRPr="008507F2" w:rsidRDefault="008507F2" w:rsidP="008507F2">
      <w:pPr>
        <w:keepNext/>
        <w:keepLines/>
        <w:spacing w:before="120" w:after="120" w:line="312" w:lineRule="auto"/>
        <w:jc w:val="center"/>
        <w:rPr>
          <w:rFonts w:ascii="Times New Roman" w:hAnsi="Times New Roman" w:cs="Times New Roman"/>
          <w:b/>
          <w:bCs/>
          <w:sz w:val="28"/>
          <w:szCs w:val="28"/>
        </w:rPr>
      </w:pPr>
      <w:r w:rsidRPr="00D05583">
        <w:rPr>
          <w:rFonts w:ascii="Times New Roman" w:hAnsi="Times New Roman" w:cs="Times New Roman"/>
          <w:b/>
          <w:bCs/>
          <w:sz w:val="28"/>
          <w:szCs w:val="28"/>
        </w:rPr>
        <w:t xml:space="preserve">Hình </w:t>
      </w:r>
      <w:r>
        <w:rPr>
          <w:rFonts w:ascii="Times New Roman" w:hAnsi="Times New Roman" w:cs="Times New Roman"/>
          <w:b/>
          <w:bCs/>
          <w:sz w:val="28"/>
          <w:szCs w:val="28"/>
        </w:rPr>
        <w:t>4</w:t>
      </w:r>
      <w:r w:rsidRPr="00D05583">
        <w:rPr>
          <w:rFonts w:ascii="Times New Roman" w:hAnsi="Times New Roman" w:cs="Times New Roman"/>
          <w:b/>
          <w:bCs/>
          <w:sz w:val="28"/>
          <w:szCs w:val="28"/>
        </w:rPr>
        <w:t xml:space="preserve">: </w:t>
      </w:r>
      <w:r>
        <w:rPr>
          <w:rFonts w:ascii="Times New Roman" w:hAnsi="Times New Roman" w:cs="Times New Roman"/>
          <w:b/>
          <w:bCs/>
          <w:sz w:val="28"/>
          <w:szCs w:val="28"/>
        </w:rPr>
        <w:t>Hệ số co giãn tăng trưởng điện và tăng trưởng GDP</w:t>
      </w:r>
    </w:p>
    <w:p w14:paraId="25C4D844" w14:textId="0BA96134" w:rsidR="008507F2" w:rsidRDefault="008507F2" w:rsidP="005C2EE2">
      <w:pPr>
        <w:spacing w:before="120" w:after="120" w:line="240" w:lineRule="auto"/>
        <w:jc w:val="center"/>
        <w:rPr>
          <w:rFonts w:ascii="Times New Roman" w:hAnsi="Times New Roman" w:cs="Times New Roman"/>
          <w:sz w:val="28"/>
          <w:szCs w:val="28"/>
        </w:rPr>
      </w:pPr>
      <w:r w:rsidRPr="001323BE">
        <w:rPr>
          <w:rFonts w:ascii="Garamond" w:hAnsi="Garamond"/>
          <w:b/>
          <w:bCs/>
          <w:i/>
          <w:iCs/>
          <w:noProof/>
        </w:rPr>
        <w:drawing>
          <wp:inline distT="0" distB="0" distL="0" distR="0" wp14:anchorId="7C02B9B7" wp14:editId="6A74AA8A">
            <wp:extent cx="5486400" cy="2275027"/>
            <wp:effectExtent l="0" t="0" r="0" b="0"/>
            <wp:docPr id="60159048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282A97" w14:textId="74C9A177" w:rsidR="00BA0301" w:rsidRDefault="00BA0301" w:rsidP="00BA0301">
      <w:pPr>
        <w:spacing w:after="240" w:line="312" w:lineRule="auto"/>
        <w:jc w:val="center"/>
        <w:rPr>
          <w:rFonts w:ascii="Times New Roman" w:hAnsi="Times New Roman" w:cs="Times New Roman"/>
        </w:rPr>
      </w:pPr>
      <w:r w:rsidRPr="00353C23">
        <w:rPr>
          <w:rFonts w:ascii="Times New Roman" w:hAnsi="Times New Roman" w:cs="Times New Roman"/>
          <w:i/>
          <w:iCs/>
        </w:rPr>
        <w:t>Nguồn</w:t>
      </w:r>
      <w:r w:rsidRPr="00353C23">
        <w:rPr>
          <w:rFonts w:ascii="Times New Roman" w:hAnsi="Times New Roman" w:cs="Times New Roman"/>
        </w:rPr>
        <w:t xml:space="preserve">: </w:t>
      </w:r>
      <w:r>
        <w:rPr>
          <w:rFonts w:ascii="Times New Roman" w:hAnsi="Times New Roman" w:cs="Times New Roman"/>
        </w:rPr>
        <w:t xml:space="preserve">David Dapice (2023) tính toán trên số liệu của </w:t>
      </w:r>
      <w:r w:rsidR="00A14878">
        <w:rPr>
          <w:rFonts w:ascii="Times New Roman" w:hAnsi="Times New Roman" w:cs="Times New Roman"/>
        </w:rPr>
        <w:t>Tổng cục Thống kê Việt Nam</w:t>
      </w:r>
      <w:r w:rsidRPr="00353C23">
        <w:rPr>
          <w:rFonts w:ascii="Times New Roman" w:hAnsi="Times New Roman" w:cs="Times New Roman"/>
        </w:rPr>
        <w:t>.</w:t>
      </w:r>
    </w:p>
    <w:p w14:paraId="5D5D8B7B" w14:textId="0B9EDA22" w:rsidR="000A5F49" w:rsidRDefault="000E53C9" w:rsidP="002D6299">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hoạch định và thực thi chính sách theo hướng </w:t>
      </w:r>
      <w:r w:rsidR="00EB7CFD">
        <w:rPr>
          <w:rFonts w:ascii="Times New Roman" w:hAnsi="Times New Roman" w:cs="Times New Roman"/>
          <w:sz w:val="28"/>
          <w:szCs w:val="28"/>
        </w:rPr>
        <w:t xml:space="preserve">tăng hiệu quả sử dụng năng lượng (energy efficiency) cần tập trung vào </w:t>
      </w:r>
      <w:r w:rsidR="00FC2FA1">
        <w:rPr>
          <w:rFonts w:ascii="Times New Roman" w:hAnsi="Times New Roman" w:cs="Times New Roman"/>
          <w:sz w:val="28"/>
          <w:szCs w:val="28"/>
        </w:rPr>
        <w:t xml:space="preserve">các </w:t>
      </w:r>
      <w:r w:rsidR="00EB7CFD">
        <w:rPr>
          <w:rFonts w:ascii="Times New Roman" w:hAnsi="Times New Roman" w:cs="Times New Roman"/>
          <w:sz w:val="28"/>
          <w:szCs w:val="28"/>
        </w:rPr>
        <w:t xml:space="preserve">nhóm </w:t>
      </w:r>
      <w:r w:rsidR="00FC2FA1">
        <w:rPr>
          <w:rFonts w:ascii="Times New Roman" w:hAnsi="Times New Roman" w:cs="Times New Roman"/>
          <w:sz w:val="28"/>
          <w:szCs w:val="28"/>
        </w:rPr>
        <w:t xml:space="preserve">vấn đề </w:t>
      </w:r>
      <w:r w:rsidR="00EB7CFD">
        <w:rPr>
          <w:rFonts w:ascii="Times New Roman" w:hAnsi="Times New Roman" w:cs="Times New Roman"/>
          <w:sz w:val="28"/>
          <w:szCs w:val="28"/>
        </w:rPr>
        <w:t>nhau:</w:t>
      </w:r>
    </w:p>
    <w:p w14:paraId="5029E357" w14:textId="2EA4684F" w:rsidR="00EB7CFD" w:rsidRPr="001D5E92" w:rsidRDefault="00EB7CFD" w:rsidP="001D5E92">
      <w:pPr>
        <w:pStyle w:val="ListParagraph"/>
        <w:numPr>
          <w:ilvl w:val="0"/>
          <w:numId w:val="3"/>
        </w:numPr>
        <w:spacing w:before="120" w:after="120" w:line="312" w:lineRule="auto"/>
        <w:jc w:val="both"/>
        <w:rPr>
          <w:rFonts w:ascii="Times New Roman" w:hAnsi="Times New Roman" w:cs="Times New Roman"/>
          <w:sz w:val="28"/>
          <w:szCs w:val="28"/>
        </w:rPr>
      </w:pPr>
      <w:r w:rsidRPr="001D5E92">
        <w:rPr>
          <w:rFonts w:ascii="Times New Roman" w:hAnsi="Times New Roman" w:cs="Times New Roman"/>
          <w:sz w:val="28"/>
          <w:szCs w:val="28"/>
        </w:rPr>
        <w:t>Hạn ch</w:t>
      </w:r>
      <w:r w:rsidR="00FC2FA1" w:rsidRPr="001D5E92">
        <w:rPr>
          <w:rFonts w:ascii="Times New Roman" w:hAnsi="Times New Roman" w:cs="Times New Roman"/>
          <w:sz w:val="28"/>
          <w:szCs w:val="28"/>
        </w:rPr>
        <w:t>ế</w:t>
      </w:r>
      <w:r w:rsidRPr="001D5E92">
        <w:rPr>
          <w:rFonts w:ascii="Times New Roman" w:hAnsi="Times New Roman" w:cs="Times New Roman"/>
          <w:sz w:val="28"/>
          <w:szCs w:val="28"/>
        </w:rPr>
        <w:t xml:space="preserve"> thu hút đầu tư và các ngành công nghiệp thâm dụng năng lượng</w:t>
      </w:r>
      <w:r w:rsidR="00FC2FA1" w:rsidRPr="001D5E92">
        <w:rPr>
          <w:rFonts w:ascii="Times New Roman" w:hAnsi="Times New Roman" w:cs="Times New Roman"/>
          <w:sz w:val="28"/>
          <w:szCs w:val="28"/>
        </w:rPr>
        <w:t>;</w:t>
      </w:r>
    </w:p>
    <w:p w14:paraId="48E4C2AF" w14:textId="29791E36" w:rsidR="00FC2FA1" w:rsidRPr="001D5E92" w:rsidRDefault="00AA24C5" w:rsidP="001D5E92">
      <w:pPr>
        <w:pStyle w:val="ListParagraph"/>
        <w:numPr>
          <w:ilvl w:val="0"/>
          <w:numId w:val="3"/>
        </w:num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K</w:t>
      </w:r>
      <w:r w:rsidR="00FC2FA1" w:rsidRPr="001D5E92">
        <w:rPr>
          <w:rFonts w:ascii="Times New Roman" w:hAnsi="Times New Roman" w:cs="Times New Roman"/>
          <w:sz w:val="28"/>
          <w:szCs w:val="28"/>
        </w:rPr>
        <w:t xml:space="preserve">huyến khích theo hướng ưu đãi </w:t>
      </w:r>
      <w:r>
        <w:rPr>
          <w:rFonts w:ascii="Times New Roman" w:hAnsi="Times New Roman" w:cs="Times New Roman"/>
          <w:sz w:val="28"/>
          <w:szCs w:val="28"/>
        </w:rPr>
        <w:t xml:space="preserve">mạnh </w:t>
      </w:r>
      <w:r w:rsidR="00FC2FA1" w:rsidRPr="001D5E92">
        <w:rPr>
          <w:rFonts w:ascii="Times New Roman" w:hAnsi="Times New Roman" w:cs="Times New Roman"/>
          <w:sz w:val="28"/>
          <w:szCs w:val="28"/>
        </w:rPr>
        <w:t>về thuế khi áp dụng công nghệ tiết kiệm năng lượng;</w:t>
      </w:r>
    </w:p>
    <w:p w14:paraId="5E32ADC9" w14:textId="4F1A6594" w:rsidR="00FC2FA1" w:rsidRPr="001D5E92" w:rsidRDefault="00FC2FA1" w:rsidP="001D5E92">
      <w:pPr>
        <w:pStyle w:val="ListParagraph"/>
        <w:numPr>
          <w:ilvl w:val="0"/>
          <w:numId w:val="3"/>
        </w:numPr>
        <w:spacing w:before="120" w:after="120" w:line="312" w:lineRule="auto"/>
        <w:jc w:val="both"/>
        <w:rPr>
          <w:rFonts w:ascii="Times New Roman" w:hAnsi="Times New Roman" w:cs="Times New Roman"/>
          <w:sz w:val="28"/>
          <w:szCs w:val="28"/>
        </w:rPr>
      </w:pPr>
      <w:r w:rsidRPr="001D5E92">
        <w:rPr>
          <w:rFonts w:ascii="Times New Roman" w:hAnsi="Times New Roman" w:cs="Times New Roman"/>
          <w:sz w:val="28"/>
          <w:szCs w:val="28"/>
        </w:rPr>
        <w:t>Kiên quyết thực thi lộ trình tăng giá điện và các giá năng lượng theo hướng giá tài chính phải bao gồm đầy đủ các chi phí kinh tế - xã hội</w:t>
      </w:r>
      <w:r w:rsidR="001D5E92">
        <w:rPr>
          <w:rFonts w:ascii="Times New Roman" w:hAnsi="Times New Roman" w:cs="Times New Roman"/>
          <w:sz w:val="28"/>
          <w:szCs w:val="28"/>
        </w:rPr>
        <w:t>;</w:t>
      </w:r>
    </w:p>
    <w:p w14:paraId="40BBF19E" w14:textId="4E48E980" w:rsidR="00FC2FA1" w:rsidRPr="001D5E92" w:rsidRDefault="00FC2FA1" w:rsidP="00F40605">
      <w:pPr>
        <w:pStyle w:val="ListParagraph"/>
        <w:numPr>
          <w:ilvl w:val="0"/>
          <w:numId w:val="3"/>
        </w:numPr>
        <w:spacing w:before="120" w:after="120" w:line="312" w:lineRule="auto"/>
        <w:contextualSpacing w:val="0"/>
        <w:jc w:val="both"/>
        <w:rPr>
          <w:rFonts w:ascii="Times New Roman" w:hAnsi="Times New Roman" w:cs="Times New Roman"/>
          <w:sz w:val="28"/>
          <w:szCs w:val="28"/>
        </w:rPr>
      </w:pPr>
      <w:r w:rsidRPr="001D5E92">
        <w:rPr>
          <w:rFonts w:ascii="Times New Roman" w:hAnsi="Times New Roman" w:cs="Times New Roman"/>
          <w:sz w:val="28"/>
          <w:szCs w:val="28"/>
        </w:rPr>
        <w:lastRenderedPageBreak/>
        <w:t>Điều chỉnh quy chuẩn xây dựng và lắp đặt thiết bị</w:t>
      </w:r>
      <w:r w:rsidRPr="001D5E92">
        <w:rPr>
          <w:rFonts w:ascii="Times New Roman" w:hAnsi="Times New Roman" w:cs="Times New Roman"/>
          <w:sz w:val="28"/>
          <w:szCs w:val="28"/>
        </w:rPr>
        <w:t>.</w:t>
      </w:r>
    </w:p>
    <w:p w14:paraId="6EA976B6" w14:textId="043F18DE" w:rsidR="005C2EE2" w:rsidRPr="00BB639F" w:rsidRDefault="005C2EE2" w:rsidP="00F40605">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Chuyển đổi động lực tăng trưởng về tiêu dùng và sản xuất trong nước theo hướng </w:t>
      </w:r>
      <w:r w:rsidR="00EA2D22">
        <w:rPr>
          <w:rFonts w:ascii="Times New Roman" w:hAnsi="Times New Roman" w:cs="Times New Roman"/>
          <w:b/>
          <w:bCs/>
          <w:sz w:val="28"/>
          <w:szCs w:val="28"/>
        </w:rPr>
        <w:t>kinh tế tuần hoàn</w:t>
      </w:r>
    </w:p>
    <w:p w14:paraId="10999302" w14:textId="07A077EB" w:rsidR="005C2EE2" w:rsidRDefault="00573DCC"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Các chính sách thúc đẩy kinh tế tuần hoàn nếu hoạch định theo hướng phân mảnh về thế chế sẽ khó tạo động khuyến khích thực thi tự nguyên và nếu áp đặt một cách cứng nhắc sẽ làm giảm đang kể năng lượng cạnh tranh của các nền kinh tế.</w:t>
      </w:r>
    </w:p>
    <w:p w14:paraId="57F2D2F1" w14:textId="71583FB3" w:rsidR="00573DCC" w:rsidRDefault="00573DCC"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Hướng tiếp cận tốt hơn là hoạch định chính sách thúc đẩy kinh tế tuần hoàn theo hệ sinh thái dẫn dặt bởi các cụm ngành (cluster-based ecosystems).</w:t>
      </w:r>
      <w:r w:rsidR="005A0BF0">
        <w:rPr>
          <w:rFonts w:ascii="Times New Roman" w:hAnsi="Times New Roman" w:cs="Times New Roman"/>
          <w:sz w:val="28"/>
          <w:szCs w:val="28"/>
        </w:rPr>
        <w:t xml:space="preserve"> Chính sách cần hướng tới việc phát triển các dịch vụ hỗ trợ trong hệ sinh thái để chính cách doanh nghiệp và người tiêu dùng sẽ thu được lợi ích từ việc tham gia một cách chủ động vào các hoạt động kinh tế tuần hoàn.</w:t>
      </w:r>
    </w:p>
    <w:p w14:paraId="261BE615" w14:textId="77777777" w:rsidR="00573DCC" w:rsidRDefault="00573DCC"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Trên phương diện hoạch định chính sách ở cấp độ Quốc hội, các cụm ngành cần được xác định thúc đẩy kinh tế tuần hoàn bao gồm:</w:t>
      </w:r>
    </w:p>
    <w:p w14:paraId="2DB06BC1" w14:textId="1CBEE041" w:rsidR="005C2EE2" w:rsidRPr="008C4B3B" w:rsidRDefault="00573DCC" w:rsidP="008C4B3B">
      <w:pPr>
        <w:pStyle w:val="ListParagraph"/>
        <w:numPr>
          <w:ilvl w:val="0"/>
          <w:numId w:val="4"/>
        </w:numPr>
        <w:spacing w:before="120" w:after="120" w:line="312" w:lineRule="auto"/>
        <w:jc w:val="both"/>
        <w:rPr>
          <w:rFonts w:ascii="Times New Roman" w:hAnsi="Times New Roman" w:cs="Times New Roman"/>
          <w:sz w:val="28"/>
          <w:szCs w:val="28"/>
        </w:rPr>
      </w:pPr>
      <w:r w:rsidRPr="008C4B3B">
        <w:rPr>
          <w:rFonts w:ascii="Times New Roman" w:hAnsi="Times New Roman" w:cs="Times New Roman"/>
          <w:sz w:val="28"/>
          <w:szCs w:val="28"/>
        </w:rPr>
        <w:t>Các ngành sản xuất hàng tiêu dùng nhanh và bao bì</w:t>
      </w:r>
    </w:p>
    <w:p w14:paraId="494AFCFF" w14:textId="36F4330F" w:rsidR="00573DCC" w:rsidRPr="008C4B3B" w:rsidRDefault="00573DCC" w:rsidP="008C4B3B">
      <w:pPr>
        <w:pStyle w:val="ListParagraph"/>
        <w:numPr>
          <w:ilvl w:val="1"/>
          <w:numId w:val="4"/>
        </w:numPr>
        <w:spacing w:before="120" w:after="120" w:line="312" w:lineRule="auto"/>
        <w:jc w:val="both"/>
        <w:rPr>
          <w:rFonts w:ascii="Times New Roman" w:hAnsi="Times New Roman" w:cs="Times New Roman"/>
          <w:sz w:val="28"/>
          <w:szCs w:val="28"/>
        </w:rPr>
      </w:pPr>
      <w:r w:rsidRPr="008C4B3B">
        <w:rPr>
          <w:rFonts w:ascii="Times New Roman" w:hAnsi="Times New Roman" w:cs="Times New Roman"/>
          <w:sz w:val="28"/>
          <w:szCs w:val="28"/>
        </w:rPr>
        <w:t xml:space="preserve">Trọng tâm chính sách: </w:t>
      </w:r>
      <w:r w:rsidR="000E3B4F">
        <w:rPr>
          <w:rFonts w:ascii="Times New Roman" w:hAnsi="Times New Roman" w:cs="Times New Roman"/>
          <w:sz w:val="28"/>
          <w:szCs w:val="28"/>
        </w:rPr>
        <w:t>T</w:t>
      </w:r>
      <w:r w:rsidR="00AD4E29" w:rsidRPr="008C4B3B">
        <w:rPr>
          <w:rFonts w:ascii="Times New Roman" w:hAnsi="Times New Roman" w:cs="Times New Roman"/>
          <w:sz w:val="28"/>
          <w:szCs w:val="28"/>
        </w:rPr>
        <w:t>ái chế</w:t>
      </w:r>
    </w:p>
    <w:p w14:paraId="284B59FA" w14:textId="248ABCBF" w:rsidR="00573DCC" w:rsidRPr="008C4B3B" w:rsidRDefault="00573DCC" w:rsidP="008C4B3B">
      <w:pPr>
        <w:pStyle w:val="ListParagraph"/>
        <w:numPr>
          <w:ilvl w:val="0"/>
          <w:numId w:val="4"/>
        </w:numPr>
        <w:spacing w:before="120" w:after="120" w:line="312" w:lineRule="auto"/>
        <w:jc w:val="both"/>
        <w:rPr>
          <w:rFonts w:ascii="Times New Roman" w:hAnsi="Times New Roman" w:cs="Times New Roman"/>
          <w:sz w:val="28"/>
          <w:szCs w:val="28"/>
        </w:rPr>
      </w:pPr>
      <w:r w:rsidRPr="008C4B3B">
        <w:rPr>
          <w:rFonts w:ascii="Times New Roman" w:hAnsi="Times New Roman" w:cs="Times New Roman"/>
          <w:sz w:val="28"/>
          <w:szCs w:val="28"/>
        </w:rPr>
        <w:t>Dịch vụ vận tải và logistics</w:t>
      </w:r>
    </w:p>
    <w:p w14:paraId="0842FC16" w14:textId="258B3826" w:rsidR="00573DCC" w:rsidRPr="008C4B3B" w:rsidRDefault="00573DCC" w:rsidP="008C4B3B">
      <w:pPr>
        <w:pStyle w:val="ListParagraph"/>
        <w:numPr>
          <w:ilvl w:val="1"/>
          <w:numId w:val="4"/>
        </w:numPr>
        <w:spacing w:before="120" w:after="120" w:line="312" w:lineRule="auto"/>
        <w:jc w:val="both"/>
        <w:rPr>
          <w:rFonts w:ascii="Times New Roman" w:hAnsi="Times New Roman" w:cs="Times New Roman"/>
          <w:sz w:val="28"/>
          <w:szCs w:val="28"/>
        </w:rPr>
      </w:pPr>
      <w:r w:rsidRPr="008C4B3B">
        <w:rPr>
          <w:rFonts w:ascii="Times New Roman" w:hAnsi="Times New Roman" w:cs="Times New Roman"/>
          <w:sz w:val="28"/>
          <w:szCs w:val="28"/>
        </w:rPr>
        <w:t xml:space="preserve">Trọng tâm chính sách: </w:t>
      </w:r>
      <w:r w:rsidR="000E3B4F">
        <w:rPr>
          <w:rFonts w:ascii="Times New Roman" w:hAnsi="Times New Roman" w:cs="Times New Roman"/>
          <w:sz w:val="28"/>
          <w:szCs w:val="28"/>
        </w:rPr>
        <w:t>C</w:t>
      </w:r>
      <w:r w:rsidR="008C4B3B" w:rsidRPr="008C4B3B">
        <w:rPr>
          <w:rFonts w:ascii="Times New Roman" w:hAnsi="Times New Roman" w:cs="Times New Roman"/>
          <w:sz w:val="28"/>
          <w:szCs w:val="28"/>
        </w:rPr>
        <w:t>ông nghệ thông minh</w:t>
      </w:r>
    </w:p>
    <w:p w14:paraId="49D3E63B" w14:textId="4E7DAC97" w:rsidR="008C4B3B" w:rsidRDefault="000E3B4F" w:rsidP="008C4B3B">
      <w:pPr>
        <w:pStyle w:val="ListParagraph"/>
        <w:numPr>
          <w:ilvl w:val="0"/>
          <w:numId w:val="4"/>
        </w:num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Xử lý chất thải</w:t>
      </w:r>
    </w:p>
    <w:p w14:paraId="795B8A7C" w14:textId="648D5FC9" w:rsidR="000E3B4F" w:rsidRPr="008C4B3B" w:rsidRDefault="000E3B4F" w:rsidP="000E3B4F">
      <w:pPr>
        <w:pStyle w:val="ListParagraph"/>
        <w:numPr>
          <w:ilvl w:val="1"/>
          <w:numId w:val="4"/>
        </w:numPr>
        <w:spacing w:before="120" w:after="120" w:line="312" w:lineRule="auto"/>
        <w:jc w:val="both"/>
        <w:rPr>
          <w:rFonts w:ascii="Times New Roman" w:hAnsi="Times New Roman" w:cs="Times New Roman"/>
          <w:sz w:val="28"/>
          <w:szCs w:val="28"/>
        </w:rPr>
      </w:pPr>
      <w:r w:rsidRPr="008C4B3B">
        <w:rPr>
          <w:rFonts w:ascii="Times New Roman" w:hAnsi="Times New Roman" w:cs="Times New Roman"/>
          <w:sz w:val="28"/>
          <w:szCs w:val="28"/>
        </w:rPr>
        <w:t>Trọng tâm chính sách:</w:t>
      </w:r>
      <w:r>
        <w:rPr>
          <w:rFonts w:ascii="Times New Roman" w:hAnsi="Times New Roman" w:cs="Times New Roman"/>
          <w:sz w:val="28"/>
          <w:szCs w:val="28"/>
        </w:rPr>
        <w:t xml:space="preserve"> </w:t>
      </w:r>
      <w:r w:rsidR="006F21E9">
        <w:rPr>
          <w:rFonts w:ascii="Times New Roman" w:hAnsi="Times New Roman" w:cs="Times New Roman"/>
          <w:sz w:val="28"/>
          <w:szCs w:val="28"/>
        </w:rPr>
        <w:t xml:space="preserve">Chuyển đổi từ </w:t>
      </w:r>
      <w:r w:rsidR="00D60597">
        <w:rPr>
          <w:rFonts w:ascii="Times New Roman" w:hAnsi="Times New Roman" w:cs="Times New Roman"/>
          <w:sz w:val="28"/>
          <w:szCs w:val="28"/>
        </w:rPr>
        <w:t>xử lý</w:t>
      </w:r>
      <w:r w:rsidR="006F21E9">
        <w:rPr>
          <w:rFonts w:ascii="Times New Roman" w:hAnsi="Times New Roman" w:cs="Times New Roman"/>
          <w:sz w:val="28"/>
          <w:szCs w:val="28"/>
        </w:rPr>
        <w:t xml:space="preserve"> rác thải sang tạo năng lượng từ rác</w:t>
      </w:r>
    </w:p>
    <w:p w14:paraId="670BD70A" w14:textId="44A0B0CF" w:rsidR="00615948" w:rsidRDefault="00615948" w:rsidP="000E3B4F">
      <w:pPr>
        <w:pStyle w:val="ListParagraph"/>
        <w:numPr>
          <w:ilvl w:val="0"/>
          <w:numId w:val="4"/>
        </w:num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Kinh tế nước</w:t>
      </w:r>
    </w:p>
    <w:p w14:paraId="0D31F416" w14:textId="64A0F938" w:rsidR="000E3B4F" w:rsidRDefault="00615948" w:rsidP="00E96094">
      <w:pPr>
        <w:pStyle w:val="ListParagraph"/>
        <w:numPr>
          <w:ilvl w:val="1"/>
          <w:numId w:val="4"/>
        </w:numPr>
        <w:spacing w:before="120" w:after="120" w:line="312" w:lineRule="auto"/>
        <w:contextualSpacing w:val="0"/>
        <w:jc w:val="both"/>
        <w:rPr>
          <w:rFonts w:ascii="Times New Roman" w:hAnsi="Times New Roman" w:cs="Times New Roman"/>
          <w:sz w:val="28"/>
          <w:szCs w:val="28"/>
        </w:rPr>
      </w:pPr>
      <w:r w:rsidRPr="008C4B3B">
        <w:rPr>
          <w:rFonts w:ascii="Times New Roman" w:hAnsi="Times New Roman" w:cs="Times New Roman"/>
          <w:sz w:val="28"/>
          <w:szCs w:val="28"/>
        </w:rPr>
        <w:t>Trọng tâm chính sách</w:t>
      </w:r>
      <w:r>
        <w:rPr>
          <w:rFonts w:ascii="Times New Roman" w:hAnsi="Times New Roman" w:cs="Times New Roman"/>
          <w:sz w:val="28"/>
          <w:szCs w:val="28"/>
        </w:rPr>
        <w:t xml:space="preserve">: </w:t>
      </w:r>
      <w:r w:rsidR="00F74859">
        <w:rPr>
          <w:rFonts w:ascii="Times New Roman" w:hAnsi="Times New Roman" w:cs="Times New Roman"/>
          <w:sz w:val="28"/>
          <w:szCs w:val="28"/>
        </w:rPr>
        <w:t xml:space="preserve">Định giá đúng đối với nước từ các nguồn khác nhau và việc khai thác sử dụng nước phải tuân thủ đúng mức giá đã tính đầy đủ các chi phí kinh tế - xã hội chứ không chỉ chi phí tài chính. </w:t>
      </w:r>
    </w:p>
    <w:p w14:paraId="46A46786" w14:textId="25EFCA06" w:rsidR="00E96094" w:rsidRPr="00BB639F" w:rsidRDefault="00DE65FB" w:rsidP="00E96094">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Pr>
          <w:rFonts w:ascii="Times New Roman" w:hAnsi="Times New Roman" w:cs="Times New Roman"/>
          <w:b/>
          <w:bCs/>
          <w:sz w:val="28"/>
          <w:szCs w:val="28"/>
        </w:rPr>
        <w:t>Đầu tư năng lượng tái tạo</w:t>
      </w:r>
    </w:p>
    <w:p w14:paraId="430F8D16" w14:textId="2512AFB8" w:rsidR="00E96094" w:rsidRDefault="00E95076" w:rsidP="00573DCC">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Trong kế hoạch đầu tư công, dự án đầu tư thuộc lĩnh vực năng lượng tái tạo cần được đặt lên ưu tiên hàng đầu và những cơ chế ưu đãi cao nhất cần được áp dụng cho việc thu hút đầu tư tư nhân cả trong và ngoài nước vào lĩnh vực này.</w:t>
      </w:r>
    </w:p>
    <w:p w14:paraId="0A1A411A" w14:textId="6D61508C" w:rsidR="0014546A" w:rsidRPr="0014546A" w:rsidRDefault="00A17EEF" w:rsidP="0014546A">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 xml:space="preserve">Ưu tiên chính sách thứ nhất là </w:t>
      </w:r>
      <w:r w:rsidR="0014546A" w:rsidRPr="0014546A">
        <w:rPr>
          <w:rFonts w:ascii="Times New Roman" w:hAnsi="Times New Roman" w:cs="Times New Roman"/>
          <w:sz w:val="28"/>
          <w:szCs w:val="28"/>
        </w:rPr>
        <w:t xml:space="preserve">củng cố lưới điện để truyền tải điện tái tạo từ nơi sản xuất đến nơi tiêu thụ. </w:t>
      </w:r>
      <w:r>
        <w:rPr>
          <w:rFonts w:ascii="Times New Roman" w:hAnsi="Times New Roman" w:cs="Times New Roman"/>
          <w:sz w:val="28"/>
          <w:szCs w:val="28"/>
        </w:rPr>
        <w:t>L</w:t>
      </w:r>
      <w:r w:rsidR="0014546A" w:rsidRPr="0014546A">
        <w:rPr>
          <w:rFonts w:ascii="Times New Roman" w:hAnsi="Times New Roman" w:cs="Times New Roman"/>
          <w:sz w:val="28"/>
          <w:szCs w:val="28"/>
        </w:rPr>
        <w:t xml:space="preserve">ưới điện cũng cần được </w:t>
      </w:r>
      <w:r w:rsidR="000602B0">
        <w:rPr>
          <w:rFonts w:ascii="Times New Roman" w:hAnsi="Times New Roman" w:cs="Times New Roman"/>
          <w:sz w:val="28"/>
          <w:szCs w:val="28"/>
        </w:rPr>
        <w:t>đầu</w:t>
      </w:r>
      <w:r>
        <w:rPr>
          <w:rFonts w:ascii="Times New Roman" w:hAnsi="Times New Roman" w:cs="Times New Roman"/>
          <w:sz w:val="28"/>
          <w:szCs w:val="28"/>
        </w:rPr>
        <w:t xml:space="preserve"> tư theo hướng </w:t>
      </w:r>
      <w:r w:rsidR="0014546A" w:rsidRPr="0014546A">
        <w:rPr>
          <w:rFonts w:ascii="Times New Roman" w:hAnsi="Times New Roman" w:cs="Times New Roman"/>
          <w:sz w:val="28"/>
          <w:szCs w:val="28"/>
        </w:rPr>
        <w:t xml:space="preserve">“thông minh” để có thể phản ứng linh hoạt với những biến động của cung và cầu. Chi phí cân bằng và ổn định lưới điện sử dụng pin </w:t>
      </w:r>
      <w:r w:rsidR="0099247A">
        <w:rPr>
          <w:rFonts w:ascii="Times New Roman" w:hAnsi="Times New Roman" w:cs="Times New Roman"/>
          <w:sz w:val="28"/>
          <w:szCs w:val="28"/>
        </w:rPr>
        <w:t xml:space="preserve">lưu trữ </w:t>
      </w:r>
      <w:r w:rsidR="0014546A" w:rsidRPr="0014546A">
        <w:rPr>
          <w:rFonts w:ascii="Times New Roman" w:hAnsi="Times New Roman" w:cs="Times New Roman"/>
          <w:sz w:val="28"/>
          <w:szCs w:val="28"/>
        </w:rPr>
        <w:t>đang giảm đi</w:t>
      </w:r>
      <w:r w:rsidR="0099247A">
        <w:rPr>
          <w:rFonts w:ascii="Times New Roman" w:hAnsi="Times New Roman" w:cs="Times New Roman"/>
          <w:sz w:val="28"/>
          <w:szCs w:val="28"/>
        </w:rPr>
        <w:t>. K</w:t>
      </w:r>
      <w:r w:rsidR="0014546A" w:rsidRPr="0014546A">
        <w:rPr>
          <w:rFonts w:ascii="Times New Roman" w:hAnsi="Times New Roman" w:cs="Times New Roman"/>
          <w:sz w:val="28"/>
          <w:szCs w:val="28"/>
        </w:rPr>
        <w:t xml:space="preserve">hác với quá trình lưu chuyển năng lượng tái tạo vốn mất nhiều thời gian, giải pháp cân bằng lưới điện dùng pin </w:t>
      </w:r>
      <w:r w:rsidR="0099247A">
        <w:rPr>
          <w:rFonts w:ascii="Times New Roman" w:hAnsi="Times New Roman" w:cs="Times New Roman"/>
          <w:sz w:val="28"/>
          <w:szCs w:val="28"/>
        </w:rPr>
        <w:t xml:space="preserve">lưu trữ là xu hướng tất yếu đang được </w:t>
      </w:r>
      <w:r w:rsidR="0014546A" w:rsidRPr="0014546A">
        <w:rPr>
          <w:rFonts w:ascii="Times New Roman" w:hAnsi="Times New Roman" w:cs="Times New Roman"/>
          <w:sz w:val="28"/>
          <w:szCs w:val="28"/>
        </w:rPr>
        <w:lastRenderedPageBreak/>
        <w:t xml:space="preserve">các công ty điện lực </w:t>
      </w:r>
      <w:r w:rsidR="0099247A">
        <w:rPr>
          <w:rFonts w:ascii="Times New Roman" w:hAnsi="Times New Roman" w:cs="Times New Roman"/>
          <w:sz w:val="28"/>
          <w:szCs w:val="28"/>
        </w:rPr>
        <w:t xml:space="preserve">toàn cầu </w:t>
      </w:r>
      <w:r w:rsidR="0014546A" w:rsidRPr="0014546A">
        <w:rPr>
          <w:rFonts w:ascii="Times New Roman" w:hAnsi="Times New Roman" w:cs="Times New Roman"/>
          <w:sz w:val="28"/>
          <w:szCs w:val="28"/>
        </w:rPr>
        <w:t xml:space="preserve">sử dụng </w:t>
      </w:r>
      <w:r w:rsidR="0099247A">
        <w:rPr>
          <w:rFonts w:ascii="Times New Roman" w:hAnsi="Times New Roman" w:cs="Times New Roman"/>
          <w:sz w:val="28"/>
          <w:szCs w:val="28"/>
        </w:rPr>
        <w:t xml:space="preserve">ngày một </w:t>
      </w:r>
      <w:r w:rsidR="0014546A" w:rsidRPr="0014546A">
        <w:rPr>
          <w:rFonts w:ascii="Times New Roman" w:hAnsi="Times New Roman" w:cs="Times New Roman"/>
          <w:sz w:val="28"/>
          <w:szCs w:val="28"/>
        </w:rPr>
        <w:t>phổ biến. Hệ thống lưới điện mạnh hơn và thông minh hơn sẽ giảm thiểu các sự cố mất điện và có giá cả phải chăng.</w:t>
      </w:r>
    </w:p>
    <w:p w14:paraId="7D367A47" w14:textId="14027C70" w:rsidR="0014546A" w:rsidRPr="0014546A" w:rsidRDefault="00634857" w:rsidP="0014546A">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 xml:space="preserve">Ưu tiên chính sách </w:t>
      </w:r>
      <w:r w:rsidR="0014546A" w:rsidRPr="0014546A">
        <w:rPr>
          <w:rFonts w:ascii="Times New Roman" w:hAnsi="Times New Roman" w:cs="Times New Roman"/>
          <w:sz w:val="28"/>
          <w:szCs w:val="28"/>
        </w:rPr>
        <w:t xml:space="preserve">tiếp theo là cần xây dựng một hệ thống đấu thầu giá điện cho các nhà sản xuất </w:t>
      </w:r>
      <w:r w:rsidR="004E338F">
        <w:rPr>
          <w:rFonts w:ascii="Times New Roman" w:hAnsi="Times New Roman" w:cs="Times New Roman"/>
          <w:sz w:val="28"/>
          <w:szCs w:val="28"/>
        </w:rPr>
        <w:t>năng lượng tái tạo</w:t>
      </w:r>
      <w:r w:rsidR="0014546A" w:rsidRPr="0014546A">
        <w:rPr>
          <w:rFonts w:ascii="Times New Roman" w:hAnsi="Times New Roman" w:cs="Times New Roman"/>
          <w:sz w:val="28"/>
          <w:szCs w:val="28"/>
        </w:rPr>
        <w:t xml:space="preserve">. Vì điện mặt trời và gió (cũng như hydro) có chi phí vận hành thấp hoặc gần bằng không, còn lại chủ yếu là chi phí cố định, nên các nguồn phát này có lợi thế tự nhiên khi tham gia đấu thầu giá điện so với nguồn điện than hay khí đốt (vốn không thể trả giá thấp hơn chi phí nhiên liệu nếu không muốn bù lỗ). Dù các nhà sản xuất điện tái tạo luôn muốn có hợp đồng </w:t>
      </w:r>
      <w:r w:rsidR="001C19E7">
        <w:rPr>
          <w:rFonts w:ascii="Times New Roman" w:hAnsi="Times New Roman" w:cs="Times New Roman"/>
          <w:sz w:val="28"/>
          <w:szCs w:val="28"/>
        </w:rPr>
        <w:t>bao tiêu</w:t>
      </w:r>
      <w:r w:rsidR="0014546A" w:rsidRPr="0014546A">
        <w:rPr>
          <w:rFonts w:ascii="Times New Roman" w:hAnsi="Times New Roman" w:cs="Times New Roman"/>
          <w:sz w:val="28"/>
          <w:szCs w:val="28"/>
        </w:rPr>
        <w:t xml:space="preserve">, nhưng họ cũng sẽ hài lòng với cơ chế đấu thầu giá điện công khai, minh bạch do trung tâm điều độ độc lập quản lý. Giải pháp thay thế cho cơ chế đấu thầu là hợp đồng </w:t>
      </w:r>
      <w:r w:rsidR="001C19E7">
        <w:rPr>
          <w:rFonts w:ascii="Times New Roman" w:hAnsi="Times New Roman" w:cs="Times New Roman"/>
          <w:sz w:val="28"/>
          <w:szCs w:val="28"/>
        </w:rPr>
        <w:t xml:space="preserve">bao tiêu dài hạn ở </w:t>
      </w:r>
      <w:r w:rsidR="0014546A" w:rsidRPr="0014546A">
        <w:rPr>
          <w:rFonts w:ascii="Times New Roman" w:hAnsi="Times New Roman" w:cs="Times New Roman"/>
          <w:sz w:val="28"/>
          <w:szCs w:val="28"/>
        </w:rPr>
        <w:t xml:space="preserve">một mức giá xác định với </w:t>
      </w:r>
      <w:r w:rsidR="001C19E7">
        <w:rPr>
          <w:rFonts w:ascii="Times New Roman" w:hAnsi="Times New Roman" w:cs="Times New Roman"/>
          <w:sz w:val="28"/>
          <w:szCs w:val="28"/>
        </w:rPr>
        <w:t xml:space="preserve">các </w:t>
      </w:r>
      <w:r w:rsidR="0014546A" w:rsidRPr="0014546A">
        <w:rPr>
          <w:rFonts w:ascii="Times New Roman" w:hAnsi="Times New Roman" w:cs="Times New Roman"/>
          <w:sz w:val="28"/>
          <w:szCs w:val="28"/>
        </w:rPr>
        <w:t xml:space="preserve">điều khoản giống các dự án năng lượng hóa thạch. Giải pháp này sẽ giúp các dự án năng lượng tái tạo dễ tiếp cận vốn vay ngân hàng cũng như các khoản vay quốc tế có chi phí thấp và dài hạn hơn. Tuy nhiên, loại hợp đồng này sẽ tăng gánh nặng cho </w:t>
      </w:r>
      <w:r w:rsidR="00BE3556">
        <w:rPr>
          <w:rFonts w:ascii="Times New Roman" w:hAnsi="Times New Roman" w:cs="Times New Roman"/>
          <w:sz w:val="28"/>
          <w:szCs w:val="28"/>
        </w:rPr>
        <w:t xml:space="preserve">Nhà nước </w:t>
      </w:r>
      <w:r w:rsidR="0014546A" w:rsidRPr="0014546A">
        <w:rPr>
          <w:rFonts w:ascii="Times New Roman" w:hAnsi="Times New Roman" w:cs="Times New Roman"/>
          <w:sz w:val="28"/>
          <w:szCs w:val="28"/>
        </w:rPr>
        <w:t>bởi khi đó rủi ro sa thải công suất điện sẽ được chuyển từ các dự án năng lượng gió và mặt trời sang đơn vị mua điện.</w:t>
      </w:r>
    </w:p>
    <w:p w14:paraId="7F7A6FEB" w14:textId="79C82BA4" w:rsidR="0014546A" w:rsidRPr="0014546A" w:rsidRDefault="00A64C36" w:rsidP="0014546A">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 xml:space="preserve">Ưu tiên chính sách </w:t>
      </w:r>
      <w:r>
        <w:rPr>
          <w:rFonts w:ascii="Times New Roman" w:hAnsi="Times New Roman" w:cs="Times New Roman"/>
          <w:sz w:val="28"/>
          <w:szCs w:val="28"/>
        </w:rPr>
        <w:t xml:space="preserve">thứ ba là </w:t>
      </w:r>
      <w:r w:rsidR="0014546A" w:rsidRPr="0014546A">
        <w:rPr>
          <w:rFonts w:ascii="Times New Roman" w:hAnsi="Times New Roman" w:cs="Times New Roman"/>
          <w:sz w:val="28"/>
          <w:szCs w:val="28"/>
        </w:rPr>
        <w:t xml:space="preserve">thiết lập giá điện bằng với chi phí sản xuất mới, đặc biệt nếu nguồn cung mới đắt hơn chi phí trung bình và giá điện hiện nay. Nếu chi phí của năng lượng tái tạo là 5-7 </w:t>
      </w:r>
      <w:r w:rsidR="00842734">
        <w:rPr>
          <w:rFonts w:ascii="Times New Roman" w:hAnsi="Times New Roman" w:cs="Times New Roman"/>
          <w:sz w:val="28"/>
          <w:szCs w:val="28"/>
        </w:rPr>
        <w:t>US xen/k</w:t>
      </w:r>
      <w:r w:rsidR="0014546A" w:rsidRPr="0014546A">
        <w:rPr>
          <w:rFonts w:ascii="Times New Roman" w:hAnsi="Times New Roman" w:cs="Times New Roman"/>
          <w:sz w:val="28"/>
          <w:szCs w:val="28"/>
        </w:rPr>
        <w:t xml:space="preserve">Wh cộng với truyền tải, giá bán lẻ cần thiết sẽ vào khoảng 10-12 </w:t>
      </w:r>
      <w:r w:rsidR="00AF77B3">
        <w:rPr>
          <w:rFonts w:ascii="Times New Roman" w:hAnsi="Times New Roman" w:cs="Times New Roman"/>
          <w:sz w:val="28"/>
          <w:szCs w:val="28"/>
        </w:rPr>
        <w:t>xen/</w:t>
      </w:r>
      <w:r w:rsidR="0014546A" w:rsidRPr="0014546A">
        <w:rPr>
          <w:rFonts w:ascii="Times New Roman" w:hAnsi="Times New Roman" w:cs="Times New Roman"/>
          <w:sz w:val="28"/>
          <w:szCs w:val="28"/>
        </w:rPr>
        <w:t>kWh, nếu bao gồm cả chi phí phân phối</w:t>
      </w:r>
      <w:r w:rsidR="00AF77B3">
        <w:rPr>
          <w:rFonts w:ascii="Times New Roman" w:hAnsi="Times New Roman" w:cs="Times New Roman"/>
          <w:sz w:val="28"/>
          <w:szCs w:val="28"/>
        </w:rPr>
        <w:t>, bán lẻ</w:t>
      </w:r>
      <w:r w:rsidR="0014546A" w:rsidRPr="0014546A">
        <w:rPr>
          <w:rFonts w:ascii="Times New Roman" w:hAnsi="Times New Roman" w:cs="Times New Roman"/>
          <w:sz w:val="28"/>
          <w:szCs w:val="28"/>
        </w:rPr>
        <w:t>.</w:t>
      </w:r>
    </w:p>
    <w:p w14:paraId="70F04F0B" w14:textId="1382CC2E" w:rsidR="0014546A" w:rsidRPr="0014546A" w:rsidRDefault="00AF77B3" w:rsidP="0014546A">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 xml:space="preserve">Ưu tiên chính sách thứ </w:t>
      </w:r>
      <w:r>
        <w:rPr>
          <w:rFonts w:ascii="Times New Roman" w:hAnsi="Times New Roman" w:cs="Times New Roman"/>
          <w:sz w:val="28"/>
          <w:szCs w:val="28"/>
        </w:rPr>
        <w:t xml:space="preserve">tư là </w:t>
      </w:r>
      <w:r w:rsidR="0014546A" w:rsidRPr="0014546A">
        <w:rPr>
          <w:rFonts w:ascii="Times New Roman" w:hAnsi="Times New Roman" w:cs="Times New Roman"/>
          <w:sz w:val="28"/>
          <w:szCs w:val="28"/>
        </w:rPr>
        <w:t xml:space="preserve">xử lý các dự án tái tạo đã cấp phép trong đó một số đã đủ điều kiện nhận mức giá FIT 8-10 </w:t>
      </w:r>
      <w:r>
        <w:rPr>
          <w:rFonts w:ascii="Times New Roman" w:hAnsi="Times New Roman" w:cs="Times New Roman"/>
          <w:sz w:val="28"/>
          <w:szCs w:val="28"/>
        </w:rPr>
        <w:t>xen/</w:t>
      </w:r>
      <w:r w:rsidR="0014546A" w:rsidRPr="0014546A">
        <w:rPr>
          <w:rFonts w:ascii="Times New Roman" w:hAnsi="Times New Roman" w:cs="Times New Roman"/>
          <w:sz w:val="28"/>
          <w:szCs w:val="28"/>
        </w:rPr>
        <w:t xml:space="preserve">kWh, số khác thì đã </w:t>
      </w:r>
      <w:r>
        <w:rPr>
          <w:rFonts w:ascii="Times New Roman" w:hAnsi="Times New Roman" w:cs="Times New Roman"/>
          <w:sz w:val="28"/>
          <w:szCs w:val="28"/>
        </w:rPr>
        <w:t xml:space="preserve">chậm </w:t>
      </w:r>
      <w:r w:rsidR="0014546A" w:rsidRPr="0014546A">
        <w:rPr>
          <w:rFonts w:ascii="Times New Roman" w:hAnsi="Times New Roman" w:cs="Times New Roman"/>
          <w:sz w:val="28"/>
          <w:szCs w:val="28"/>
        </w:rPr>
        <w:t xml:space="preserve">thời hạn </w:t>
      </w:r>
      <w:r>
        <w:rPr>
          <w:rFonts w:ascii="Times New Roman" w:hAnsi="Times New Roman" w:cs="Times New Roman"/>
          <w:sz w:val="28"/>
          <w:szCs w:val="28"/>
        </w:rPr>
        <w:t xml:space="preserve">theo </w:t>
      </w:r>
      <w:r w:rsidR="0014546A" w:rsidRPr="0014546A">
        <w:rPr>
          <w:rFonts w:ascii="Times New Roman" w:hAnsi="Times New Roman" w:cs="Times New Roman"/>
          <w:sz w:val="28"/>
          <w:szCs w:val="28"/>
        </w:rPr>
        <w:t>qu</w:t>
      </w:r>
      <w:r>
        <w:rPr>
          <w:rFonts w:ascii="Times New Roman" w:hAnsi="Times New Roman" w:cs="Times New Roman"/>
          <w:sz w:val="28"/>
          <w:szCs w:val="28"/>
        </w:rPr>
        <w:t xml:space="preserve">y </w:t>
      </w:r>
      <w:r w:rsidR="0014546A" w:rsidRPr="0014546A">
        <w:rPr>
          <w:rFonts w:ascii="Times New Roman" w:hAnsi="Times New Roman" w:cs="Times New Roman"/>
          <w:sz w:val="28"/>
          <w:szCs w:val="28"/>
        </w:rPr>
        <w:t xml:space="preserve">định. Nhiều nhà đầu tư “chậm chân” này đang thiếu tiền trả nợ vay vì lưới điện không đủ công suất truyền tải trong khi họ đã sẵn sàng sản xuất. </w:t>
      </w:r>
      <w:r w:rsidR="00496168">
        <w:rPr>
          <w:rFonts w:ascii="Times New Roman" w:hAnsi="Times New Roman" w:cs="Times New Roman"/>
          <w:sz w:val="28"/>
          <w:szCs w:val="28"/>
        </w:rPr>
        <w:t>C</w:t>
      </w:r>
      <w:r w:rsidR="0014546A" w:rsidRPr="0014546A">
        <w:rPr>
          <w:rFonts w:ascii="Times New Roman" w:hAnsi="Times New Roman" w:cs="Times New Roman"/>
          <w:sz w:val="28"/>
          <w:szCs w:val="28"/>
        </w:rPr>
        <w:t xml:space="preserve">ác dự án này </w:t>
      </w:r>
      <w:r w:rsidR="00496168">
        <w:rPr>
          <w:rFonts w:ascii="Times New Roman" w:hAnsi="Times New Roman" w:cs="Times New Roman"/>
          <w:sz w:val="28"/>
          <w:szCs w:val="28"/>
        </w:rPr>
        <w:t xml:space="preserve">nếu </w:t>
      </w:r>
      <w:r w:rsidR="0014546A" w:rsidRPr="0014546A">
        <w:rPr>
          <w:rFonts w:ascii="Times New Roman" w:hAnsi="Times New Roman" w:cs="Times New Roman"/>
          <w:sz w:val="28"/>
          <w:szCs w:val="28"/>
        </w:rPr>
        <w:t>bị đẩy vào bờ vực phá sản</w:t>
      </w:r>
      <w:r w:rsidR="00496168">
        <w:rPr>
          <w:rFonts w:ascii="Times New Roman" w:hAnsi="Times New Roman" w:cs="Times New Roman"/>
          <w:sz w:val="28"/>
          <w:szCs w:val="28"/>
        </w:rPr>
        <w:t xml:space="preserve"> thì </w:t>
      </w:r>
      <w:r w:rsidR="0014546A" w:rsidRPr="0014546A">
        <w:rPr>
          <w:rFonts w:ascii="Times New Roman" w:hAnsi="Times New Roman" w:cs="Times New Roman"/>
          <w:sz w:val="28"/>
          <w:szCs w:val="28"/>
        </w:rPr>
        <w:t>sẽ trở thành gánh nặng cho các chủ nợ, trước hết là các ngân hàng Việt Nam. Nếu nợ vay phần nào được phép cơ cấu lại, các ngân hàng Việt Nam sẽ ít bị ảnh hưởng hơn và chủ đầu tư dự án sẽ thu được một phần lợi nhuận. Về phía Chính phủ và EVN những cân nhắc tài chính cũng phải được xem xét trong bất kỳ giải pháp nào cho tình huống này. Các mức giá mua bán điện hiện nay chỉ có tác dụng đối với dự án tiếp cận được các khoản vay xanh chi phí thấp với kỳ hạn dài, chứ không dành cho các nhà sản xuất trước đó đã đi vay ngắn hạn với lãi suất cao hơn từ các ngân hàng địa phương. Họ cần các điều khoản cho vay tốt hơn hoặc giá bán điện cao hơn, gần với mức giá FIT ưu đãi năm 2019.</w:t>
      </w:r>
    </w:p>
    <w:p w14:paraId="2408EB7B" w14:textId="4FBD99A7" w:rsidR="0014546A" w:rsidRDefault="00494CFF" w:rsidP="0014546A">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Thứ năm</w:t>
      </w:r>
      <w:r w:rsidR="00595DF4">
        <w:rPr>
          <w:rFonts w:ascii="Times New Roman" w:hAnsi="Times New Roman" w:cs="Times New Roman"/>
          <w:sz w:val="28"/>
          <w:szCs w:val="28"/>
        </w:rPr>
        <w:t xml:space="preserve">, </w:t>
      </w:r>
      <w:r w:rsidR="0014546A" w:rsidRPr="0014546A">
        <w:rPr>
          <w:rFonts w:ascii="Times New Roman" w:hAnsi="Times New Roman" w:cs="Times New Roman"/>
          <w:sz w:val="28"/>
          <w:szCs w:val="28"/>
        </w:rPr>
        <w:t xml:space="preserve">Chính phủ cần có lộ trình phê duyệt rõ ràng đối với bất kỳ dự án điện mới nào, đặc biệt là dự án dùng nhiên liệu hóa thạch. Nếu các dự án này thường xuyên phát sinh chi phí cao hơn năng lượng gió hoặc mặt trời, thì những rủi ro này cần được nhìn nhận và đưa vào </w:t>
      </w:r>
      <w:r w:rsidR="0014546A" w:rsidRPr="0014546A">
        <w:rPr>
          <w:rFonts w:ascii="Times New Roman" w:hAnsi="Times New Roman" w:cs="Times New Roman"/>
          <w:sz w:val="28"/>
          <w:szCs w:val="28"/>
        </w:rPr>
        <w:lastRenderedPageBreak/>
        <w:t xml:space="preserve">tính toán tài chính. Nó có nghĩa là công suất huy động sẽ thấp thông qua đấu thầu giá điện. Trong những trường hợp này, hợp đồng </w:t>
      </w:r>
      <w:r w:rsidR="00595DF4">
        <w:rPr>
          <w:rFonts w:ascii="Times New Roman" w:hAnsi="Times New Roman" w:cs="Times New Roman"/>
          <w:sz w:val="28"/>
          <w:szCs w:val="28"/>
        </w:rPr>
        <w:t xml:space="preserve">bao tiêu </w:t>
      </w:r>
      <w:r w:rsidR="0014546A" w:rsidRPr="0014546A">
        <w:rPr>
          <w:rFonts w:ascii="Times New Roman" w:hAnsi="Times New Roman" w:cs="Times New Roman"/>
          <w:sz w:val="28"/>
          <w:szCs w:val="28"/>
        </w:rPr>
        <w:t>là không phù hợp, đặc biệt khi chi phí lưu trữ điện giảm đi. Nếu năng lượng tái tạo được đầu tư mạnh trong thập kỷ này, thì sẽ không cần phát triển thêm các dự án điện hóa thạch do nguồn điện này hiện đang dư công suất. Tuy nhiên, ngành điện cũng cần dự trù khả năng tiếp tục xảy ra hạn hán dẫn đến giảm sản lượng thủy điện. Tất cả hệ thống điện quốc gia đều cần hỗn hợp phát điện từ nhiều nguồn khác nhau.</w:t>
      </w:r>
    </w:p>
    <w:p w14:paraId="32192471" w14:textId="3FC781E1" w:rsidR="00494CFF" w:rsidRDefault="00191BB4" w:rsidP="00494CFF">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Sau cùng, x</w:t>
      </w:r>
      <w:r w:rsidR="00494CFF">
        <w:rPr>
          <w:rFonts w:ascii="Times New Roman" w:hAnsi="Times New Roman" w:cs="Times New Roman"/>
          <w:sz w:val="28"/>
          <w:szCs w:val="28"/>
        </w:rPr>
        <w:t xml:space="preserve">uất khẩu vẫn sẽ là động lực tăng trưởng quan trọng của kinh tế Việt Nam. Ngay trong trung hạn, áp lực đặt lên nhiều nhà xuất khẩu là phải sử dụng năng lượng sạch, trước mắt là một yêu cầu quan trọng ở các thị trường kinh tế tiên tiến nhưng cũng sẽ xuất hiện ở các thị trường khác. Vì vậy, việc thu hút đầu tư và thúc đẩy các ngành kinh tế theo hướng xuất khẩu không chỉ là khai thác các hiệp định thương mại tự do mà còn là đầu tư để có đủ năng lượng tái tạo cho các cơ sở sản xuất kinh doanh. Các khu kinh tế và khu công nghiệp của Việt Nam đứng trước thách thức </w:t>
      </w:r>
      <w:r>
        <w:rPr>
          <w:rFonts w:ascii="Times New Roman" w:hAnsi="Times New Roman" w:cs="Times New Roman"/>
          <w:sz w:val="28"/>
          <w:szCs w:val="28"/>
        </w:rPr>
        <w:t>là phải có khả năng cung cấp đủ năng lượng tái tạo theo yêu cầu của các nhà đầu tư. Việc khuyến khích phát triển hệ thống điện mặt trờ</w:t>
      </w:r>
      <w:r w:rsidR="005A423F">
        <w:rPr>
          <w:rFonts w:ascii="Times New Roman" w:hAnsi="Times New Roman" w:cs="Times New Roman"/>
          <w:sz w:val="28"/>
          <w:szCs w:val="28"/>
        </w:rPr>
        <w:t>i</w:t>
      </w:r>
      <w:r>
        <w:rPr>
          <w:rFonts w:ascii="Times New Roman" w:hAnsi="Times New Roman" w:cs="Times New Roman"/>
          <w:sz w:val="28"/>
          <w:szCs w:val="28"/>
        </w:rPr>
        <w:t xml:space="preserve"> áp mái ngay trong khu công nghiệp để cung cấp trực tiếp cho các doanh nghiệp tại đó cần phải được thể chế hóa một cách rõ ràng.</w:t>
      </w:r>
    </w:p>
    <w:p w14:paraId="2961F255" w14:textId="1E0AA95C" w:rsidR="007D071F" w:rsidRPr="00BB639F" w:rsidRDefault="007D071F" w:rsidP="007D071F">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Đầu tư </w:t>
      </w:r>
      <w:r>
        <w:rPr>
          <w:rFonts w:ascii="Times New Roman" w:hAnsi="Times New Roman" w:cs="Times New Roman"/>
          <w:b/>
          <w:bCs/>
          <w:sz w:val="28"/>
          <w:szCs w:val="28"/>
        </w:rPr>
        <w:t>các cơ sở hạ tầng khác theo hướng chuyển đổi xanh</w:t>
      </w:r>
    </w:p>
    <w:p w14:paraId="153685F5" w14:textId="59314650" w:rsidR="0017633B" w:rsidRDefault="00D7569E"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Ngoài đầu tư năng lượng tái tạo, thì các cơ sở hạ tầng kinh tế khác cũng cần được khuyến khích đầu tư theo hướng chuyển đổi xanh</w:t>
      </w:r>
      <w:r w:rsidR="00E859DF">
        <w:rPr>
          <w:rFonts w:ascii="Times New Roman" w:hAnsi="Times New Roman" w:cs="Times New Roman"/>
          <w:sz w:val="28"/>
          <w:szCs w:val="28"/>
        </w:rPr>
        <w:t>, hay cụ thể hơn là theo hướng trung tính về carbon (cabon-neutral)</w:t>
      </w:r>
      <w:r>
        <w:rPr>
          <w:rFonts w:ascii="Times New Roman" w:hAnsi="Times New Roman" w:cs="Times New Roman"/>
          <w:sz w:val="28"/>
          <w:szCs w:val="28"/>
        </w:rPr>
        <w:t>.</w:t>
      </w:r>
      <w:r w:rsidR="0017633B">
        <w:rPr>
          <w:rFonts w:ascii="Times New Roman" w:hAnsi="Times New Roman" w:cs="Times New Roman"/>
          <w:sz w:val="28"/>
          <w:szCs w:val="28"/>
        </w:rPr>
        <w:t xml:space="preserve"> Các cơ sở hạ tầng hiện tại cũng cần được khuyến khích triển khai các biện pháp phi carbon hóa (decarbonization).</w:t>
      </w:r>
    </w:p>
    <w:p w14:paraId="64B52A89" w14:textId="07A23182" w:rsidR="00A611D2" w:rsidRDefault="00B74C02"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 xml:space="preserve">Trong những cơ sở hạ tầng kinh tế cảng biển là quan trọng nhất. </w:t>
      </w:r>
      <w:r w:rsidR="00A611D2">
        <w:rPr>
          <w:rFonts w:ascii="Times New Roman" w:hAnsi="Times New Roman" w:cs="Times New Roman"/>
          <w:sz w:val="28"/>
          <w:szCs w:val="28"/>
        </w:rPr>
        <w:t>Đối với một nền kinh tế mở như Việt Nam, cảng biển đóng vài trò quan trọng. Các cảng biển hiện hữu, đặc biệt là các cảng đóng vai trò cửa ngõ quốc tế (Hải Phòng, TP.HCM, Bà Rịa – Vũng Tàu) phải duy trì lợi thế cạnh tranh. Nhà nước (đặc biệt là Nhà nước ở cấp địa phương) cũng muốn phát triển nhiều cảng biển mới.</w:t>
      </w:r>
      <w:r w:rsidR="00D16741">
        <w:rPr>
          <w:rFonts w:ascii="Times New Roman" w:hAnsi="Times New Roman" w:cs="Times New Roman"/>
          <w:sz w:val="28"/>
          <w:szCs w:val="28"/>
        </w:rPr>
        <w:t xml:space="preserve"> </w:t>
      </w:r>
      <w:r w:rsidR="00A611D2">
        <w:rPr>
          <w:rFonts w:ascii="Times New Roman" w:hAnsi="Times New Roman" w:cs="Times New Roman"/>
          <w:sz w:val="28"/>
          <w:szCs w:val="28"/>
        </w:rPr>
        <w:t>Cảng biển, cả hiện hữu và quy hoạch mới, thường được phát triển trong các khu kinh tế, khu công nghiệp với sự tập trung của nhiều hoạt động kinh tế thâm dụng năng</w:t>
      </w:r>
      <w:r w:rsidR="00BB1980">
        <w:rPr>
          <w:rFonts w:ascii="Times New Roman" w:hAnsi="Times New Roman" w:cs="Times New Roman"/>
          <w:sz w:val="28"/>
          <w:szCs w:val="28"/>
        </w:rPr>
        <w:t xml:space="preserve"> lượng như </w:t>
      </w:r>
      <w:r w:rsidR="00CA1749">
        <w:rPr>
          <w:rFonts w:ascii="Times New Roman" w:hAnsi="Times New Roman" w:cs="Times New Roman"/>
          <w:sz w:val="28"/>
          <w:szCs w:val="28"/>
        </w:rPr>
        <w:t>nhà máy điện, thép và hóa chất.</w:t>
      </w:r>
      <w:r w:rsidR="00C76212">
        <w:rPr>
          <w:rFonts w:ascii="Times New Roman" w:hAnsi="Times New Roman" w:cs="Times New Roman"/>
          <w:sz w:val="28"/>
          <w:szCs w:val="28"/>
        </w:rPr>
        <w:t xml:space="preserve"> Do đó, phát thải CO2 từ các khu vực cảng biển thường chiếm một tỷ trọng đáng kể.</w:t>
      </w:r>
    </w:p>
    <w:p w14:paraId="09C467F6" w14:textId="7F35A597" w:rsidR="00D16741" w:rsidRDefault="00D16741"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Trọng tâm tạo chuyển đổi xanh về cơ sở hạ tầng tiếp theo là các cơ sở hạ tầng đô thị tại các thành phố lớn của Việt Nam</w:t>
      </w:r>
      <w:r w:rsidR="009A3146">
        <w:rPr>
          <w:rFonts w:ascii="Times New Roman" w:hAnsi="Times New Roman" w:cs="Times New Roman"/>
          <w:sz w:val="28"/>
          <w:szCs w:val="28"/>
        </w:rPr>
        <w:t xml:space="preserve"> như Hà Nội, TP.HCM, Hải Phòng, Đà Nẵng và Cần Thơ. Chuyển đổi xanh đã được xác định là một nội hàm của mô hình đô thị thông minh. </w:t>
      </w:r>
      <w:r w:rsidR="00C24A5B">
        <w:rPr>
          <w:rFonts w:ascii="Times New Roman" w:hAnsi="Times New Roman" w:cs="Times New Roman"/>
          <w:sz w:val="28"/>
          <w:szCs w:val="28"/>
        </w:rPr>
        <w:t xml:space="preserve">Quốc hội cần tiếp </w:t>
      </w:r>
      <w:r w:rsidR="00C24A5B">
        <w:rPr>
          <w:rFonts w:ascii="Times New Roman" w:hAnsi="Times New Roman" w:cs="Times New Roman"/>
          <w:sz w:val="28"/>
          <w:szCs w:val="28"/>
        </w:rPr>
        <w:lastRenderedPageBreak/>
        <w:t xml:space="preserve">tục tạo cơ chế đặc thù, nhưng là theo hướng “sandbox” về đổi mới công nghệ để </w:t>
      </w:r>
      <w:r w:rsidR="000D7A8A">
        <w:rPr>
          <w:rFonts w:ascii="Times New Roman" w:hAnsi="Times New Roman" w:cs="Times New Roman"/>
          <w:sz w:val="28"/>
          <w:szCs w:val="28"/>
        </w:rPr>
        <w:t>các chính quyền địa phương có thể chủ động xây dựng thành phố mình thành đô thị thông minh – bền vững với sự tham gia chủ động của người dân và doanh nghiệp.</w:t>
      </w:r>
    </w:p>
    <w:p w14:paraId="23642841" w14:textId="653DD37D" w:rsidR="00C46076" w:rsidRPr="00BB639F" w:rsidRDefault="00C46076" w:rsidP="00C46076">
      <w:pPr>
        <w:pStyle w:val="ListParagraph"/>
        <w:keepNext/>
        <w:keepLines/>
        <w:numPr>
          <w:ilvl w:val="0"/>
          <w:numId w:val="1"/>
        </w:numPr>
        <w:spacing w:before="120" w:after="120" w:line="312" w:lineRule="auto"/>
        <w:ind w:left="720"/>
        <w:jc w:val="both"/>
        <w:rPr>
          <w:rFonts w:ascii="Times New Roman" w:hAnsi="Times New Roman" w:cs="Times New Roman"/>
          <w:b/>
          <w:bCs/>
          <w:sz w:val="28"/>
          <w:szCs w:val="28"/>
        </w:rPr>
      </w:pPr>
      <w:r>
        <w:rPr>
          <w:rFonts w:ascii="Times New Roman" w:hAnsi="Times New Roman" w:cs="Times New Roman"/>
          <w:b/>
          <w:bCs/>
          <w:sz w:val="28"/>
          <w:szCs w:val="28"/>
        </w:rPr>
        <w:t>Kết luận</w:t>
      </w:r>
    </w:p>
    <w:p w14:paraId="45A5B796" w14:textId="799BDF6D" w:rsidR="0047619A" w:rsidRDefault="00C46076" w:rsidP="00C46076">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Với tiêu đề là “C</w:t>
      </w:r>
      <w:r w:rsidRPr="00C46076">
        <w:rPr>
          <w:rFonts w:ascii="Times New Roman" w:hAnsi="Times New Roman" w:cs="Times New Roman"/>
          <w:sz w:val="28"/>
          <w:szCs w:val="28"/>
        </w:rPr>
        <w:t>huyển đổi xanh và thách thức tăng trưởng</w:t>
      </w:r>
      <w:r>
        <w:rPr>
          <w:rFonts w:ascii="Times New Roman" w:hAnsi="Times New Roman" w:cs="Times New Roman"/>
          <w:sz w:val="28"/>
          <w:szCs w:val="28"/>
        </w:rPr>
        <w:t xml:space="preserve"> </w:t>
      </w:r>
      <w:r w:rsidRPr="00C46076">
        <w:rPr>
          <w:rFonts w:ascii="Times New Roman" w:hAnsi="Times New Roman" w:cs="Times New Roman"/>
          <w:sz w:val="28"/>
          <w:szCs w:val="28"/>
        </w:rPr>
        <w:t>kinh tế trung hạn</w:t>
      </w:r>
      <w:r>
        <w:rPr>
          <w:rFonts w:ascii="Times New Roman" w:hAnsi="Times New Roman" w:cs="Times New Roman"/>
          <w:sz w:val="28"/>
          <w:szCs w:val="28"/>
        </w:rPr>
        <w:t>”, bài tham luận này mong muốn đưa ra những định hướng chính sách lớn ở cấp độ Quốc hội nhằm đưa chuyển đổi xanh trở thành một động lực cho tăng trưởng không chỉ trong dài hạn mà ngay cả ở trung hạn. Những định hướng này là:</w:t>
      </w:r>
    </w:p>
    <w:p w14:paraId="3DA4D72C" w14:textId="45AB718C" w:rsidR="00C46076" w:rsidRDefault="00C46076" w:rsidP="00C46076">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Điều chỉnh theo hướng tăng quy mô đầu tư công</w:t>
      </w:r>
      <w:r w:rsidR="002C1680">
        <w:rPr>
          <w:rFonts w:ascii="Times New Roman" w:hAnsi="Times New Roman" w:cs="Times New Roman"/>
          <w:sz w:val="28"/>
          <w:szCs w:val="28"/>
        </w:rPr>
        <w:t xml:space="preserve"> trong 2-3 năm tới vì đầu tư công cần phải là là động lực tăng trưởng quan trọng nhất trong trung hạn trước bối cảnh còn nhiều biến động của kinh tế toàn cầu. Những điều chỉnh đầu tư công nều có cần theo hướng để các dự án được điều chỉnh hay dự án bổ sung mới phải là những dự án theo hướng chuyển đổi xanh.</w:t>
      </w:r>
    </w:p>
    <w:p w14:paraId="421D7127" w14:textId="32997096" w:rsidR="007D29F1" w:rsidRDefault="007D29F1" w:rsidP="007D29F1">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H</w:t>
      </w:r>
      <w:r w:rsidRPr="007D29F1">
        <w:rPr>
          <w:rFonts w:ascii="Times New Roman" w:hAnsi="Times New Roman" w:cs="Times New Roman"/>
          <w:sz w:val="28"/>
          <w:szCs w:val="28"/>
        </w:rPr>
        <w:t xml:space="preserve">oạch định và thực thi chính sách theo hướng tăng hiệu quả sử dụng năng lượng </w:t>
      </w:r>
      <w:r>
        <w:rPr>
          <w:rFonts w:ascii="Times New Roman" w:hAnsi="Times New Roman" w:cs="Times New Roman"/>
          <w:sz w:val="28"/>
          <w:szCs w:val="28"/>
        </w:rPr>
        <w:t>với trọng tâm là h</w:t>
      </w:r>
      <w:r w:rsidRPr="007D29F1">
        <w:rPr>
          <w:rFonts w:ascii="Times New Roman" w:hAnsi="Times New Roman" w:cs="Times New Roman"/>
          <w:sz w:val="28"/>
          <w:szCs w:val="28"/>
        </w:rPr>
        <w:t>ạn chế thu hút đầu tư và các ngành công nghiệp thâm dụng năng lượng</w:t>
      </w:r>
      <w:r>
        <w:rPr>
          <w:rFonts w:ascii="Times New Roman" w:hAnsi="Times New Roman" w:cs="Times New Roman"/>
          <w:sz w:val="28"/>
          <w:szCs w:val="28"/>
        </w:rPr>
        <w:t>, k</w:t>
      </w:r>
      <w:r w:rsidRPr="007D29F1">
        <w:rPr>
          <w:rFonts w:ascii="Times New Roman" w:hAnsi="Times New Roman" w:cs="Times New Roman"/>
          <w:sz w:val="28"/>
          <w:szCs w:val="28"/>
        </w:rPr>
        <w:t xml:space="preserve">huyến khích theo hướng ưu đãi mạnh về thuế khi áp dụng công nghệ </w:t>
      </w:r>
      <w:r>
        <w:rPr>
          <w:rFonts w:ascii="Times New Roman" w:hAnsi="Times New Roman" w:cs="Times New Roman"/>
          <w:sz w:val="28"/>
          <w:szCs w:val="28"/>
        </w:rPr>
        <w:t>mới về chuyển đổi xanh, k</w:t>
      </w:r>
      <w:r w:rsidRPr="007D29F1">
        <w:rPr>
          <w:rFonts w:ascii="Times New Roman" w:hAnsi="Times New Roman" w:cs="Times New Roman"/>
          <w:sz w:val="28"/>
          <w:szCs w:val="28"/>
        </w:rPr>
        <w:t>iên quyết thực thi lộ trình tăng giá điện và các giá năng lượng theo hướng giá tài chính phải bao gồm đầy đủ các chi phí kinh tế - xã hội</w:t>
      </w:r>
      <w:r>
        <w:rPr>
          <w:rFonts w:ascii="Times New Roman" w:hAnsi="Times New Roman" w:cs="Times New Roman"/>
          <w:sz w:val="28"/>
          <w:szCs w:val="28"/>
        </w:rPr>
        <w:t xml:space="preserve"> và đ</w:t>
      </w:r>
      <w:r w:rsidRPr="007D29F1">
        <w:rPr>
          <w:rFonts w:ascii="Times New Roman" w:hAnsi="Times New Roman" w:cs="Times New Roman"/>
          <w:sz w:val="28"/>
          <w:szCs w:val="28"/>
        </w:rPr>
        <w:t>iều chỉnh quy chuẩn xây dựng và lắp đặt thiết bị</w:t>
      </w:r>
      <w:r>
        <w:rPr>
          <w:rFonts w:ascii="Times New Roman" w:hAnsi="Times New Roman" w:cs="Times New Roman"/>
          <w:sz w:val="28"/>
          <w:szCs w:val="28"/>
        </w:rPr>
        <w:t xml:space="preserve"> theo hướng tiết kiệm năng lượng</w:t>
      </w:r>
      <w:r w:rsidRPr="007D29F1">
        <w:rPr>
          <w:rFonts w:ascii="Times New Roman" w:hAnsi="Times New Roman" w:cs="Times New Roman"/>
          <w:sz w:val="28"/>
          <w:szCs w:val="28"/>
        </w:rPr>
        <w:t>.</w:t>
      </w:r>
    </w:p>
    <w:p w14:paraId="68E13B7C" w14:textId="6F0CFE9A" w:rsidR="00573DCC" w:rsidRDefault="00070822" w:rsidP="005C2EE2">
      <w:pPr>
        <w:spacing w:before="120" w:after="120" w:line="312" w:lineRule="auto"/>
        <w:jc w:val="both"/>
        <w:rPr>
          <w:rFonts w:ascii="Times New Roman" w:hAnsi="Times New Roman" w:cs="Times New Roman"/>
          <w:sz w:val="28"/>
          <w:szCs w:val="28"/>
        </w:rPr>
      </w:pPr>
      <w:r w:rsidRPr="00070822">
        <w:rPr>
          <w:rFonts w:ascii="Times New Roman" w:hAnsi="Times New Roman" w:cs="Times New Roman"/>
          <w:sz w:val="28"/>
          <w:szCs w:val="28"/>
        </w:rPr>
        <w:t>Chuyển đổi động lực tăng trưởng về tiêu dùng và sản xuất trong nước theo hướng kinh tế tuần hoàn</w:t>
      </w:r>
      <w:r>
        <w:rPr>
          <w:rFonts w:ascii="Times New Roman" w:hAnsi="Times New Roman" w:cs="Times New Roman"/>
          <w:sz w:val="28"/>
          <w:szCs w:val="28"/>
        </w:rPr>
        <w:t xml:space="preserve"> bằng cách </w:t>
      </w:r>
      <w:r w:rsidR="00C27F2C">
        <w:rPr>
          <w:rFonts w:ascii="Times New Roman" w:hAnsi="Times New Roman" w:cs="Times New Roman"/>
          <w:sz w:val="28"/>
          <w:szCs w:val="28"/>
        </w:rPr>
        <w:t xml:space="preserve">khuyến khích hệ sinh thái với các dịch vụ hỗ trợ trong hoạt động tái chế ở </w:t>
      </w:r>
      <w:r w:rsidRPr="00070822">
        <w:rPr>
          <w:rFonts w:ascii="Times New Roman" w:hAnsi="Times New Roman" w:cs="Times New Roman"/>
          <w:sz w:val="28"/>
          <w:szCs w:val="28"/>
        </w:rPr>
        <w:t>các cụm ngành sản xuất hàng tiêu dùng nhanh và bao bì</w:t>
      </w:r>
      <w:r w:rsidR="00AD5C5A">
        <w:rPr>
          <w:rFonts w:ascii="Times New Roman" w:hAnsi="Times New Roman" w:cs="Times New Roman"/>
          <w:sz w:val="28"/>
          <w:szCs w:val="28"/>
        </w:rPr>
        <w:t>;</w:t>
      </w:r>
      <w:r w:rsidR="00C27F2C">
        <w:rPr>
          <w:rFonts w:ascii="Times New Roman" w:hAnsi="Times New Roman" w:cs="Times New Roman"/>
          <w:sz w:val="28"/>
          <w:szCs w:val="28"/>
        </w:rPr>
        <w:t xml:space="preserve"> áp dụng công nghệ thông mình trong cụm ngành vận tải – logitics, cụm ngành x</w:t>
      </w:r>
      <w:r w:rsidRPr="00070822">
        <w:rPr>
          <w:rFonts w:ascii="Times New Roman" w:hAnsi="Times New Roman" w:cs="Times New Roman"/>
          <w:sz w:val="28"/>
          <w:szCs w:val="28"/>
        </w:rPr>
        <w:t>ử lý chất thải</w:t>
      </w:r>
      <w:r w:rsidR="00C27F2C">
        <w:rPr>
          <w:rFonts w:ascii="Times New Roman" w:hAnsi="Times New Roman" w:cs="Times New Roman"/>
          <w:sz w:val="28"/>
          <w:szCs w:val="28"/>
        </w:rPr>
        <w:t xml:space="preserve"> theo hướng </w:t>
      </w:r>
      <w:r w:rsidRPr="00070822">
        <w:rPr>
          <w:rFonts w:ascii="Times New Roman" w:hAnsi="Times New Roman" w:cs="Times New Roman"/>
          <w:sz w:val="28"/>
          <w:szCs w:val="28"/>
        </w:rPr>
        <w:t>tạo năng lượng từ rác</w:t>
      </w:r>
      <w:r w:rsidR="00C27F2C">
        <w:rPr>
          <w:rFonts w:ascii="Times New Roman" w:hAnsi="Times New Roman" w:cs="Times New Roman"/>
          <w:sz w:val="28"/>
          <w:szCs w:val="28"/>
        </w:rPr>
        <w:t xml:space="preserve">; </w:t>
      </w:r>
      <w:r w:rsidR="00AD5C5A">
        <w:rPr>
          <w:rFonts w:ascii="Times New Roman" w:hAnsi="Times New Roman" w:cs="Times New Roman"/>
          <w:sz w:val="28"/>
          <w:szCs w:val="28"/>
        </w:rPr>
        <w:t>phát triển cụm ngành k</w:t>
      </w:r>
      <w:r w:rsidRPr="00070822">
        <w:rPr>
          <w:rFonts w:ascii="Times New Roman" w:hAnsi="Times New Roman" w:cs="Times New Roman"/>
          <w:sz w:val="28"/>
          <w:szCs w:val="28"/>
        </w:rPr>
        <w:t>inh tế nước</w:t>
      </w:r>
      <w:r w:rsidR="00AD5C5A">
        <w:rPr>
          <w:rFonts w:ascii="Times New Roman" w:hAnsi="Times New Roman" w:cs="Times New Roman"/>
          <w:sz w:val="28"/>
          <w:szCs w:val="28"/>
        </w:rPr>
        <w:t xml:space="preserve"> trên cơ sở đinh giá đúng chi phí kinh tế - xã hội của tài nguyên này</w:t>
      </w:r>
      <w:r w:rsidR="00F4741A">
        <w:rPr>
          <w:rFonts w:ascii="Times New Roman" w:hAnsi="Times New Roman" w:cs="Times New Roman"/>
          <w:sz w:val="28"/>
          <w:szCs w:val="28"/>
        </w:rPr>
        <w:t>.</w:t>
      </w:r>
    </w:p>
    <w:p w14:paraId="1B7AC597" w14:textId="27B2DBD6" w:rsidR="00F4741A" w:rsidRPr="001967AB" w:rsidRDefault="00F4741A" w:rsidP="005C2EE2">
      <w:pPr>
        <w:spacing w:before="120" w:after="120" w:line="312" w:lineRule="auto"/>
        <w:jc w:val="both"/>
        <w:rPr>
          <w:rFonts w:ascii="Times New Roman" w:hAnsi="Times New Roman" w:cs="Times New Roman"/>
          <w:sz w:val="28"/>
          <w:szCs w:val="28"/>
        </w:rPr>
      </w:pPr>
      <w:r>
        <w:rPr>
          <w:rFonts w:ascii="Times New Roman" w:hAnsi="Times New Roman" w:cs="Times New Roman"/>
          <w:sz w:val="28"/>
          <w:szCs w:val="28"/>
        </w:rPr>
        <w:t xml:space="preserve">Hoàn thiện khung pháp lý trong đầu tư và sản xuất năng lượng tài tạo, xác định rõ các lựa chọn về hình thức đầu tư nhà nước 100%, tư nhân 100% và đối tác công tư (PPP), </w:t>
      </w:r>
      <w:r>
        <w:rPr>
          <w:rFonts w:ascii="Times New Roman" w:hAnsi="Times New Roman" w:cs="Times New Roman"/>
          <w:sz w:val="28"/>
          <w:szCs w:val="28"/>
        </w:rPr>
        <w:t>ưu tiên đầu tư cho truyền tải,</w:t>
      </w:r>
      <w:r>
        <w:rPr>
          <w:rFonts w:ascii="Times New Roman" w:hAnsi="Times New Roman" w:cs="Times New Roman"/>
          <w:sz w:val="28"/>
          <w:szCs w:val="28"/>
        </w:rPr>
        <w:t xml:space="preserve"> điện mặt trờ áp mái trong các khu công nghiệp và ứng dụng công nghệ mới trong truyền tải, lưu trữ và phân phối bán lẻ.</w:t>
      </w:r>
    </w:p>
    <w:sectPr w:rsidR="00F4741A" w:rsidRPr="001967AB" w:rsidSect="007D1F8A">
      <w:footerReference w:type="default" r:id="rId12"/>
      <w:pgSz w:w="12643" w:h="16834" w:code="159"/>
      <w:pgMar w:top="1440" w:right="1138" w:bottom="1138" w:left="113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D9E2" w14:textId="77777777" w:rsidR="00A83931" w:rsidRDefault="00A83931" w:rsidP="009E4BF5">
      <w:pPr>
        <w:spacing w:after="0" w:line="240" w:lineRule="auto"/>
      </w:pPr>
      <w:r>
        <w:separator/>
      </w:r>
    </w:p>
  </w:endnote>
  <w:endnote w:type="continuationSeparator" w:id="0">
    <w:p w14:paraId="62A48BE2" w14:textId="77777777" w:rsidR="00A83931" w:rsidRDefault="00A83931" w:rsidP="009E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791236"/>
      <w:docPartObj>
        <w:docPartGallery w:val="Page Numbers (Bottom of Page)"/>
        <w:docPartUnique/>
      </w:docPartObj>
    </w:sdtPr>
    <w:sdtEndPr>
      <w:rPr>
        <w:noProof/>
      </w:rPr>
    </w:sdtEndPr>
    <w:sdtContent>
      <w:p w14:paraId="6B8C56FF" w14:textId="4C42BBD2" w:rsidR="009E4BF5" w:rsidRDefault="009E4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D1FC0" w14:textId="77777777" w:rsidR="009E4BF5" w:rsidRDefault="009E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F88B" w14:textId="77777777" w:rsidR="00A83931" w:rsidRDefault="00A83931" w:rsidP="009E4BF5">
      <w:pPr>
        <w:spacing w:after="0" w:line="240" w:lineRule="auto"/>
      </w:pPr>
      <w:r>
        <w:separator/>
      </w:r>
    </w:p>
  </w:footnote>
  <w:footnote w:type="continuationSeparator" w:id="0">
    <w:p w14:paraId="1FD7999B" w14:textId="77777777" w:rsidR="00A83931" w:rsidRDefault="00A83931" w:rsidP="009E4BF5">
      <w:pPr>
        <w:spacing w:after="0" w:line="240" w:lineRule="auto"/>
      </w:pPr>
      <w:r>
        <w:continuationSeparator/>
      </w:r>
    </w:p>
  </w:footnote>
  <w:footnote w:id="1">
    <w:p w14:paraId="54D112F1" w14:textId="77777777" w:rsidR="00C90F6E" w:rsidRDefault="00C90F6E" w:rsidP="00C90F6E">
      <w:pPr>
        <w:pStyle w:val="FootnoteText"/>
      </w:pPr>
      <w:r>
        <w:rPr>
          <w:rStyle w:val="FootnoteReference"/>
        </w:rPr>
        <w:footnoteRef/>
      </w:r>
      <w:r>
        <w:t xml:space="preserve"> Theo báo cáo của Bộ Tài chính, tỷ lệ giải ngân vớn đầu tư công so với kế hoạch được Thủ tướng Chính phủ giao ước tính đến hết tháng 8 là 42,35% (Bộ Tài chính, CV số 9348/BTC-ĐT về tình hình thanh toán vốn đầu tư nguồn NSNN lũy kế 7 tháng, ước thực hiện 8 tháng kế hoạch năm 2023, 31/8/2023).</w:t>
      </w:r>
    </w:p>
  </w:footnote>
  <w:footnote w:id="2">
    <w:p w14:paraId="361C6D7B" w14:textId="491D6E3D" w:rsidR="005C7361" w:rsidRDefault="005C7361">
      <w:pPr>
        <w:pStyle w:val="FootnoteText"/>
      </w:pPr>
      <w:r>
        <w:rPr>
          <w:rStyle w:val="FootnoteReference"/>
        </w:rPr>
        <w:footnoteRef/>
      </w:r>
      <w:r>
        <w:t xml:space="preserve"> Tốc độ tăng trưởng tính sau khi đã loại bỏ yếu tố trượt giá.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8F6"/>
    <w:multiLevelType w:val="hybridMultilevel"/>
    <w:tmpl w:val="46B29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85879"/>
    <w:multiLevelType w:val="hybridMultilevel"/>
    <w:tmpl w:val="601EB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D4EA0"/>
    <w:multiLevelType w:val="hybridMultilevel"/>
    <w:tmpl w:val="1BF83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6A0ADA"/>
    <w:multiLevelType w:val="hybridMultilevel"/>
    <w:tmpl w:val="8E1A285E"/>
    <w:lvl w:ilvl="0" w:tplc="F9D86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425887">
    <w:abstractNumId w:val="3"/>
  </w:num>
  <w:num w:numId="2" w16cid:durableId="2097289201">
    <w:abstractNumId w:val="1"/>
  </w:num>
  <w:num w:numId="3" w16cid:durableId="1874151996">
    <w:abstractNumId w:val="2"/>
  </w:num>
  <w:num w:numId="4" w16cid:durableId="80959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AB"/>
    <w:rsid w:val="00031799"/>
    <w:rsid w:val="00041641"/>
    <w:rsid w:val="00042062"/>
    <w:rsid w:val="000602B0"/>
    <w:rsid w:val="000605E9"/>
    <w:rsid w:val="00070822"/>
    <w:rsid w:val="00092BDC"/>
    <w:rsid w:val="000A5F49"/>
    <w:rsid w:val="000B4ECC"/>
    <w:rsid w:val="000D7A8A"/>
    <w:rsid w:val="000E3B4F"/>
    <w:rsid w:val="000E53C9"/>
    <w:rsid w:val="000F2415"/>
    <w:rsid w:val="0011517A"/>
    <w:rsid w:val="001236B3"/>
    <w:rsid w:val="00141AC3"/>
    <w:rsid w:val="0014546A"/>
    <w:rsid w:val="0017483C"/>
    <w:rsid w:val="0017633B"/>
    <w:rsid w:val="00182297"/>
    <w:rsid w:val="00191BB4"/>
    <w:rsid w:val="001967AB"/>
    <w:rsid w:val="001C19E7"/>
    <w:rsid w:val="001C4E7D"/>
    <w:rsid w:val="001D5E92"/>
    <w:rsid w:val="001E4113"/>
    <w:rsid w:val="00221BB3"/>
    <w:rsid w:val="002C1680"/>
    <w:rsid w:val="002D6299"/>
    <w:rsid w:val="00303503"/>
    <w:rsid w:val="00303F96"/>
    <w:rsid w:val="00312CB5"/>
    <w:rsid w:val="003264DF"/>
    <w:rsid w:val="003469EE"/>
    <w:rsid w:val="00353C23"/>
    <w:rsid w:val="003A294F"/>
    <w:rsid w:val="003B4357"/>
    <w:rsid w:val="003E42BF"/>
    <w:rsid w:val="00405903"/>
    <w:rsid w:val="00406761"/>
    <w:rsid w:val="004535DB"/>
    <w:rsid w:val="0047619A"/>
    <w:rsid w:val="00494CFF"/>
    <w:rsid w:val="00496168"/>
    <w:rsid w:val="004B657B"/>
    <w:rsid w:val="004C09A5"/>
    <w:rsid w:val="004C187B"/>
    <w:rsid w:val="004C62CA"/>
    <w:rsid w:val="004E338F"/>
    <w:rsid w:val="004E3D8F"/>
    <w:rsid w:val="004F572B"/>
    <w:rsid w:val="005102FF"/>
    <w:rsid w:val="00520C70"/>
    <w:rsid w:val="00573DCC"/>
    <w:rsid w:val="00595DF4"/>
    <w:rsid w:val="005A0BF0"/>
    <w:rsid w:val="005A423F"/>
    <w:rsid w:val="005A7DF9"/>
    <w:rsid w:val="005C2EE2"/>
    <w:rsid w:val="005C7361"/>
    <w:rsid w:val="005E1B73"/>
    <w:rsid w:val="00615948"/>
    <w:rsid w:val="00634857"/>
    <w:rsid w:val="006457BF"/>
    <w:rsid w:val="006F21E9"/>
    <w:rsid w:val="00710F52"/>
    <w:rsid w:val="00722BAA"/>
    <w:rsid w:val="00781E09"/>
    <w:rsid w:val="00781F65"/>
    <w:rsid w:val="00791167"/>
    <w:rsid w:val="007C1D54"/>
    <w:rsid w:val="007D071F"/>
    <w:rsid w:val="007D1F8A"/>
    <w:rsid w:val="007D29F1"/>
    <w:rsid w:val="007F4AFE"/>
    <w:rsid w:val="0080212C"/>
    <w:rsid w:val="00841F3C"/>
    <w:rsid w:val="00842734"/>
    <w:rsid w:val="008507F2"/>
    <w:rsid w:val="008831EA"/>
    <w:rsid w:val="00885E4A"/>
    <w:rsid w:val="008C4B3B"/>
    <w:rsid w:val="008D6B4B"/>
    <w:rsid w:val="0091674C"/>
    <w:rsid w:val="0099247A"/>
    <w:rsid w:val="009A3146"/>
    <w:rsid w:val="009C72B4"/>
    <w:rsid w:val="009E4BF5"/>
    <w:rsid w:val="00A14878"/>
    <w:rsid w:val="00A15990"/>
    <w:rsid w:val="00A17EEF"/>
    <w:rsid w:val="00A611D2"/>
    <w:rsid w:val="00A64C36"/>
    <w:rsid w:val="00A666AD"/>
    <w:rsid w:val="00A822B3"/>
    <w:rsid w:val="00A83931"/>
    <w:rsid w:val="00AA24C5"/>
    <w:rsid w:val="00AB1D91"/>
    <w:rsid w:val="00AD4E29"/>
    <w:rsid w:val="00AD5C5A"/>
    <w:rsid w:val="00AF676E"/>
    <w:rsid w:val="00AF6F2E"/>
    <w:rsid w:val="00AF77B3"/>
    <w:rsid w:val="00B36D84"/>
    <w:rsid w:val="00B66F09"/>
    <w:rsid w:val="00B74C02"/>
    <w:rsid w:val="00BA0301"/>
    <w:rsid w:val="00BB1980"/>
    <w:rsid w:val="00BB639F"/>
    <w:rsid w:val="00BD4BE7"/>
    <w:rsid w:val="00BE3556"/>
    <w:rsid w:val="00BF0F52"/>
    <w:rsid w:val="00C24A5B"/>
    <w:rsid w:val="00C27F2C"/>
    <w:rsid w:val="00C46076"/>
    <w:rsid w:val="00C51D47"/>
    <w:rsid w:val="00C64434"/>
    <w:rsid w:val="00C76212"/>
    <w:rsid w:val="00C81319"/>
    <w:rsid w:val="00C829EB"/>
    <w:rsid w:val="00C90F6E"/>
    <w:rsid w:val="00CA1749"/>
    <w:rsid w:val="00CC77CA"/>
    <w:rsid w:val="00CE138D"/>
    <w:rsid w:val="00CE3C4F"/>
    <w:rsid w:val="00D05583"/>
    <w:rsid w:val="00D16741"/>
    <w:rsid w:val="00D23E24"/>
    <w:rsid w:val="00D36AAB"/>
    <w:rsid w:val="00D60597"/>
    <w:rsid w:val="00D6467F"/>
    <w:rsid w:val="00D7569E"/>
    <w:rsid w:val="00DE65FB"/>
    <w:rsid w:val="00E0608C"/>
    <w:rsid w:val="00E3146C"/>
    <w:rsid w:val="00E34454"/>
    <w:rsid w:val="00E8526D"/>
    <w:rsid w:val="00E859DF"/>
    <w:rsid w:val="00E95076"/>
    <w:rsid w:val="00E96094"/>
    <w:rsid w:val="00EA2D22"/>
    <w:rsid w:val="00EA4553"/>
    <w:rsid w:val="00EB7CFD"/>
    <w:rsid w:val="00EE7537"/>
    <w:rsid w:val="00EF1C6B"/>
    <w:rsid w:val="00EF4549"/>
    <w:rsid w:val="00F002F7"/>
    <w:rsid w:val="00F07CAA"/>
    <w:rsid w:val="00F34DA5"/>
    <w:rsid w:val="00F40605"/>
    <w:rsid w:val="00F4741A"/>
    <w:rsid w:val="00F74859"/>
    <w:rsid w:val="00FA5753"/>
    <w:rsid w:val="00FB40D3"/>
    <w:rsid w:val="00FC2FA1"/>
    <w:rsid w:val="00FD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59D6"/>
  <w15:chartTrackingRefBased/>
  <w15:docId w15:val="{238B9555-254F-4712-B368-E74C7D04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F5"/>
  </w:style>
  <w:style w:type="paragraph" w:styleId="Footer">
    <w:name w:val="footer"/>
    <w:basedOn w:val="Normal"/>
    <w:link w:val="FooterChar"/>
    <w:uiPriority w:val="99"/>
    <w:unhideWhenUsed/>
    <w:rsid w:val="009E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F5"/>
  </w:style>
  <w:style w:type="paragraph" w:styleId="ListParagraph">
    <w:name w:val="List Paragraph"/>
    <w:basedOn w:val="Normal"/>
    <w:uiPriority w:val="34"/>
    <w:qFormat/>
    <w:rsid w:val="00BB639F"/>
    <w:pPr>
      <w:ind w:left="720"/>
      <w:contextualSpacing/>
    </w:pPr>
  </w:style>
  <w:style w:type="paragraph" w:styleId="FootnoteText">
    <w:name w:val="footnote text"/>
    <w:basedOn w:val="Normal"/>
    <w:link w:val="FootnoteTextChar"/>
    <w:uiPriority w:val="99"/>
    <w:semiHidden/>
    <w:unhideWhenUsed/>
    <w:rsid w:val="004C1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87B"/>
    <w:rPr>
      <w:sz w:val="20"/>
      <w:szCs w:val="20"/>
    </w:rPr>
  </w:style>
  <w:style w:type="character" w:styleId="FootnoteReference">
    <w:name w:val="footnote reference"/>
    <w:basedOn w:val="DefaultParagraphFont"/>
    <w:uiPriority w:val="99"/>
    <w:semiHidden/>
    <w:unhideWhenUsed/>
    <w:rsid w:val="004C1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9654">
      <w:bodyDiv w:val="1"/>
      <w:marLeft w:val="0"/>
      <w:marRight w:val="0"/>
      <w:marTop w:val="0"/>
      <w:marBottom w:val="0"/>
      <w:divBdr>
        <w:top w:val="none" w:sz="0" w:space="0" w:color="auto"/>
        <w:left w:val="none" w:sz="0" w:space="0" w:color="auto"/>
        <w:bottom w:val="none" w:sz="0" w:space="0" w:color="auto"/>
        <w:right w:val="none" w:sz="0" w:space="0" w:color="auto"/>
      </w:divBdr>
      <w:divsChild>
        <w:div w:id="708919589">
          <w:marLeft w:val="547"/>
          <w:marRight w:val="0"/>
          <w:marTop w:val="96"/>
          <w:marBottom w:val="0"/>
          <w:divBdr>
            <w:top w:val="none" w:sz="0" w:space="0" w:color="auto"/>
            <w:left w:val="none" w:sz="0" w:space="0" w:color="auto"/>
            <w:bottom w:val="none" w:sz="0" w:space="0" w:color="auto"/>
            <w:right w:val="none" w:sz="0" w:space="0" w:color="auto"/>
          </w:divBdr>
        </w:div>
        <w:div w:id="114944019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Tăng trưởng GDP Q1</c:v>
                </c:pt>
              </c:strCache>
            </c:strRef>
          </c:tx>
          <c:spPr>
            <a:solidFill>
              <a:schemeClr val="tx2">
                <a:lumMod val="60000"/>
                <a:lumOff val="40000"/>
              </a:schemeClr>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E853-4E76-8C1E-E960AF6EAADD}"/>
              </c:ext>
            </c:extLst>
          </c:dPt>
          <c:dPt>
            <c:idx val="9"/>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5-E853-4E76-8C1E-E960AF6EAADD}"/>
              </c:ext>
            </c:extLst>
          </c:dPt>
          <c:dPt>
            <c:idx val="12"/>
            <c:invertIfNegative val="0"/>
            <c:bubble3D val="0"/>
            <c:spPr>
              <a:solidFill>
                <a:schemeClr val="accent6">
                  <a:lumMod val="75000"/>
                </a:schemeClr>
              </a:solidFill>
              <a:ln>
                <a:noFill/>
              </a:ln>
              <a:effectLst/>
            </c:spPr>
            <c:extLst>
              <c:ext xmlns:c16="http://schemas.microsoft.com/office/drawing/2014/chart" uri="{C3380CC4-5D6E-409C-BE32-E72D297353CC}">
                <c16:uniqueId val="{00000003-E853-4E76-8C1E-E960AF6EAADD}"/>
              </c:ext>
            </c:extLst>
          </c:dPt>
          <c:dLbls>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53-4E76-8C1E-E960AF6EAAD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50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Sheet1!$B$2:$B$14</c:f>
              <c:numCache>
                <c:formatCode>0.00%</c:formatCode>
                <c:ptCount val="13"/>
                <c:pt idx="0">
                  <c:v>6.0999999999999999E-2</c:v>
                </c:pt>
                <c:pt idx="1">
                  <c:v>5.2499999999999998E-2</c:v>
                </c:pt>
                <c:pt idx="2">
                  <c:v>5.0299999999999997E-2</c:v>
                </c:pt>
                <c:pt idx="3">
                  <c:v>5.8599999999999999E-2</c:v>
                </c:pt>
                <c:pt idx="4">
                  <c:v>6.6799999999999998E-2</c:v>
                </c:pt>
                <c:pt idx="5">
                  <c:v>6.13E-2</c:v>
                </c:pt>
                <c:pt idx="6">
                  <c:v>5.9299999999999999E-2</c:v>
                </c:pt>
                <c:pt idx="7">
                  <c:v>7.4300000000000005E-2</c:v>
                </c:pt>
                <c:pt idx="8">
                  <c:v>7.1199999999999999E-2</c:v>
                </c:pt>
                <c:pt idx="9">
                  <c:v>1.7399999999999999E-2</c:v>
                </c:pt>
                <c:pt idx="10">
                  <c:v>5.7599999999999998E-2</c:v>
                </c:pt>
                <c:pt idx="11">
                  <c:v>6.4600000000000005E-2</c:v>
                </c:pt>
                <c:pt idx="12">
                  <c:v>3.7199999999999997E-2</c:v>
                </c:pt>
              </c:numCache>
            </c:numRef>
          </c:val>
          <c:extLst>
            <c:ext xmlns:c16="http://schemas.microsoft.com/office/drawing/2014/chart" uri="{C3380CC4-5D6E-409C-BE32-E72D297353CC}">
              <c16:uniqueId val="{00000004-E853-4E76-8C1E-E960AF6EAADD}"/>
            </c:ext>
          </c:extLst>
        </c:ser>
        <c:dLbls>
          <c:showLegendKey val="0"/>
          <c:showVal val="0"/>
          <c:showCatName val="0"/>
          <c:showSerName val="0"/>
          <c:showPercent val="0"/>
          <c:showBubbleSize val="0"/>
        </c:dLbls>
        <c:gapWidth val="50"/>
        <c:axId val="1411772751"/>
        <c:axId val="593111439"/>
      </c:barChart>
      <c:catAx>
        <c:axId val="141177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lumMod val="50000"/>
                  </a:schemeClr>
                </a:solidFill>
                <a:latin typeface="+mn-lt"/>
                <a:ea typeface="+mn-ea"/>
                <a:cs typeface="+mn-cs"/>
              </a:defRPr>
            </a:pPr>
            <a:endParaRPr lang="en-US"/>
          </a:p>
        </c:txPr>
        <c:crossAx val="593111439"/>
        <c:crosses val="autoZero"/>
        <c:auto val="1"/>
        <c:lblAlgn val="ctr"/>
        <c:lblOffset val="100"/>
        <c:noMultiLvlLbl val="0"/>
      </c:catAx>
      <c:valAx>
        <c:axId val="593111439"/>
        <c:scaling>
          <c:orientation val="minMax"/>
          <c:max val="8.0000000000000016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2">
                    <a:lumMod val="50000"/>
                  </a:schemeClr>
                </a:solidFill>
                <a:latin typeface="+mn-lt"/>
                <a:ea typeface="+mn-ea"/>
                <a:cs typeface="+mn-cs"/>
              </a:defRPr>
            </a:pPr>
            <a:endParaRPr lang="en-US"/>
          </a:p>
        </c:txPr>
        <c:crossAx val="1411772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2">
              <a:lumMod val="50000"/>
            </a:schemeClr>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072433654126566E-2"/>
          <c:y val="3.107333174262308E-2"/>
          <c:w val="0.86787571624452287"/>
          <c:h val="0.60731060941182147"/>
        </c:manualLayout>
      </c:layout>
      <c:lineChart>
        <c:grouping val="standard"/>
        <c:varyColors val="0"/>
        <c:ser>
          <c:idx val="0"/>
          <c:order val="0"/>
          <c:tx>
            <c:strRef>
              <c:f>Sheet1!$B$1</c:f>
              <c:strCache>
                <c:ptCount val="1"/>
                <c:pt idx="0">
                  <c:v>Xuất khẩu</c:v>
                </c:pt>
              </c:strCache>
            </c:strRef>
          </c:tx>
          <c:spPr>
            <a:ln w="34925" cap="rnd">
              <a:solidFill>
                <a:schemeClr val="accent1"/>
              </a:solidFill>
              <a:round/>
            </a:ln>
            <a:effectLst/>
          </c:spPr>
          <c:marker>
            <c:symbol val="none"/>
          </c:marker>
          <c:cat>
            <c:numRef>
              <c:f>Sheet1!$A$5:$A$32</c:f>
              <c:numCache>
                <c:formatCode>m/d/yyyy</c:formatCode>
                <c:ptCount val="28"/>
                <c:pt idx="0">
                  <c:v>44316</c:v>
                </c:pt>
                <c:pt idx="1">
                  <c:v>44347</c:v>
                </c:pt>
                <c:pt idx="2">
                  <c:v>44377</c:v>
                </c:pt>
                <c:pt idx="3">
                  <c:v>44408</c:v>
                </c:pt>
                <c:pt idx="4">
                  <c:v>44439</c:v>
                </c:pt>
                <c:pt idx="5">
                  <c:v>44469</c:v>
                </c:pt>
                <c:pt idx="6">
                  <c:v>44500</c:v>
                </c:pt>
                <c:pt idx="7">
                  <c:v>44530</c:v>
                </c:pt>
                <c:pt idx="8">
                  <c:v>44561</c:v>
                </c:pt>
                <c:pt idx="9">
                  <c:v>44592</c:v>
                </c:pt>
                <c:pt idx="10">
                  <c:v>44620</c:v>
                </c:pt>
                <c:pt idx="11">
                  <c:v>44651</c:v>
                </c:pt>
                <c:pt idx="12">
                  <c:v>44681</c:v>
                </c:pt>
                <c:pt idx="13">
                  <c:v>44712</c:v>
                </c:pt>
                <c:pt idx="14">
                  <c:v>44742</c:v>
                </c:pt>
                <c:pt idx="15">
                  <c:v>44773</c:v>
                </c:pt>
                <c:pt idx="16">
                  <c:v>44804</c:v>
                </c:pt>
                <c:pt idx="17">
                  <c:v>44834</c:v>
                </c:pt>
                <c:pt idx="18">
                  <c:v>44865</c:v>
                </c:pt>
                <c:pt idx="19">
                  <c:v>44895</c:v>
                </c:pt>
                <c:pt idx="20">
                  <c:v>44926</c:v>
                </c:pt>
                <c:pt idx="21">
                  <c:v>44957</c:v>
                </c:pt>
                <c:pt idx="22">
                  <c:v>44985</c:v>
                </c:pt>
                <c:pt idx="23">
                  <c:v>45016</c:v>
                </c:pt>
                <c:pt idx="24">
                  <c:v>45046</c:v>
                </c:pt>
                <c:pt idx="25">
                  <c:v>45077</c:v>
                </c:pt>
                <c:pt idx="26">
                  <c:v>45107</c:v>
                </c:pt>
                <c:pt idx="27">
                  <c:v>45138</c:v>
                </c:pt>
              </c:numCache>
            </c:numRef>
          </c:cat>
          <c:val>
            <c:numRef>
              <c:f>Sheet1!$B$5:$B$32</c:f>
              <c:numCache>
                <c:formatCode>0.0%</c:formatCode>
                <c:ptCount val="28"/>
                <c:pt idx="0">
                  <c:v>0.50570455722224028</c:v>
                </c:pt>
                <c:pt idx="1">
                  <c:v>0.35332076680471158</c:v>
                </c:pt>
                <c:pt idx="2">
                  <c:v>0.20504975381111223</c:v>
                </c:pt>
                <c:pt idx="3">
                  <c:v>0.12894897961644891</c:v>
                </c:pt>
                <c:pt idx="4">
                  <c:v>-2.0931315422933916E-2</c:v>
                </c:pt>
                <c:pt idx="5">
                  <c:v>-3.8967462380362639E-3</c:v>
                </c:pt>
                <c:pt idx="6">
                  <c:v>7.0388121330257514E-2</c:v>
                </c:pt>
                <c:pt idx="7">
                  <c:v>0.26951598616765771</c:v>
                </c:pt>
                <c:pt idx="8">
                  <c:v>0.24901625693128882</c:v>
                </c:pt>
                <c:pt idx="9">
                  <c:v>0.11700000000000001</c:v>
                </c:pt>
                <c:pt idx="10">
                  <c:v>0.156</c:v>
                </c:pt>
                <c:pt idx="11">
                  <c:v>0.17199999999999999</c:v>
                </c:pt>
                <c:pt idx="12">
                  <c:v>0.253</c:v>
                </c:pt>
                <c:pt idx="13">
                  <c:v>0.17799999999999999</c:v>
                </c:pt>
                <c:pt idx="14">
                  <c:v>0.216</c:v>
                </c:pt>
                <c:pt idx="15">
                  <c:v>9.7000000000000003E-2</c:v>
                </c:pt>
                <c:pt idx="16">
                  <c:v>0.28899999999999998</c:v>
                </c:pt>
                <c:pt idx="17">
                  <c:v>0.108</c:v>
                </c:pt>
                <c:pt idx="18" formatCode="0.00%">
                  <c:v>4.7E-2</c:v>
                </c:pt>
                <c:pt idx="19" formatCode="0.00%">
                  <c:v>-8.5999999999999993E-2</c:v>
                </c:pt>
                <c:pt idx="20" formatCode="0.00%">
                  <c:v>-0.156</c:v>
                </c:pt>
                <c:pt idx="21">
                  <c:v>-0.26</c:v>
                </c:pt>
                <c:pt idx="22">
                  <c:v>0.11600000000000001</c:v>
                </c:pt>
                <c:pt idx="23" formatCode="0.00%">
                  <c:v>-0.14499999999999999</c:v>
                </c:pt>
                <c:pt idx="24" formatCode="0.00%">
                  <c:v>-0.16200000000000001</c:v>
                </c:pt>
                <c:pt idx="25" formatCode="0.00%">
                  <c:v>-9.0999999999999998E-2</c:v>
                </c:pt>
                <c:pt idx="26">
                  <c:v>-0.10957262389671485</c:v>
                </c:pt>
                <c:pt idx="27">
                  <c:v>-2.2067193421865028E-2</c:v>
                </c:pt>
              </c:numCache>
            </c:numRef>
          </c:val>
          <c:smooth val="0"/>
          <c:extLst>
            <c:ext xmlns:c16="http://schemas.microsoft.com/office/drawing/2014/chart" uri="{C3380CC4-5D6E-409C-BE32-E72D297353CC}">
              <c16:uniqueId val="{00000000-1512-494C-9744-DD56741A5746}"/>
            </c:ext>
          </c:extLst>
        </c:ser>
        <c:ser>
          <c:idx val="1"/>
          <c:order val="1"/>
          <c:tx>
            <c:strRef>
              <c:f>Sheet1!$C$1</c:f>
              <c:strCache>
                <c:ptCount val="1"/>
                <c:pt idx="0">
                  <c:v>Nhập khẩu</c:v>
                </c:pt>
              </c:strCache>
            </c:strRef>
          </c:tx>
          <c:spPr>
            <a:ln w="34925" cap="rnd">
              <a:solidFill>
                <a:schemeClr val="accent2"/>
              </a:solidFill>
              <a:round/>
            </a:ln>
            <a:effectLst/>
          </c:spPr>
          <c:marker>
            <c:symbol val="none"/>
          </c:marker>
          <c:cat>
            <c:numRef>
              <c:f>Sheet1!$A$5:$A$32</c:f>
              <c:numCache>
                <c:formatCode>m/d/yyyy</c:formatCode>
                <c:ptCount val="28"/>
                <c:pt idx="0">
                  <c:v>44316</c:v>
                </c:pt>
                <c:pt idx="1">
                  <c:v>44347</c:v>
                </c:pt>
                <c:pt idx="2">
                  <c:v>44377</c:v>
                </c:pt>
                <c:pt idx="3">
                  <c:v>44408</c:v>
                </c:pt>
                <c:pt idx="4">
                  <c:v>44439</c:v>
                </c:pt>
                <c:pt idx="5">
                  <c:v>44469</c:v>
                </c:pt>
                <c:pt idx="6">
                  <c:v>44500</c:v>
                </c:pt>
                <c:pt idx="7">
                  <c:v>44530</c:v>
                </c:pt>
                <c:pt idx="8">
                  <c:v>44561</c:v>
                </c:pt>
                <c:pt idx="9">
                  <c:v>44592</c:v>
                </c:pt>
                <c:pt idx="10">
                  <c:v>44620</c:v>
                </c:pt>
                <c:pt idx="11">
                  <c:v>44651</c:v>
                </c:pt>
                <c:pt idx="12">
                  <c:v>44681</c:v>
                </c:pt>
                <c:pt idx="13">
                  <c:v>44712</c:v>
                </c:pt>
                <c:pt idx="14">
                  <c:v>44742</c:v>
                </c:pt>
                <c:pt idx="15">
                  <c:v>44773</c:v>
                </c:pt>
                <c:pt idx="16">
                  <c:v>44804</c:v>
                </c:pt>
                <c:pt idx="17">
                  <c:v>44834</c:v>
                </c:pt>
                <c:pt idx="18">
                  <c:v>44865</c:v>
                </c:pt>
                <c:pt idx="19">
                  <c:v>44895</c:v>
                </c:pt>
                <c:pt idx="20">
                  <c:v>44926</c:v>
                </c:pt>
                <c:pt idx="21">
                  <c:v>44957</c:v>
                </c:pt>
                <c:pt idx="22">
                  <c:v>44985</c:v>
                </c:pt>
                <c:pt idx="23">
                  <c:v>45016</c:v>
                </c:pt>
                <c:pt idx="24">
                  <c:v>45046</c:v>
                </c:pt>
                <c:pt idx="25">
                  <c:v>45077</c:v>
                </c:pt>
                <c:pt idx="26">
                  <c:v>45107</c:v>
                </c:pt>
                <c:pt idx="27">
                  <c:v>45138</c:v>
                </c:pt>
              </c:numCache>
            </c:numRef>
          </c:cat>
          <c:val>
            <c:numRef>
              <c:f>Sheet1!$C$5:$C$32</c:f>
              <c:numCache>
                <c:formatCode>0.0%</c:formatCode>
                <c:ptCount val="28"/>
                <c:pt idx="0">
                  <c:v>0.49048320658049893</c:v>
                </c:pt>
                <c:pt idx="1">
                  <c:v>0.52171756950676418</c:v>
                </c:pt>
                <c:pt idx="2">
                  <c:v>0.34241948374245235</c:v>
                </c:pt>
                <c:pt idx="3">
                  <c:v>0.34499968903474776</c:v>
                </c:pt>
                <c:pt idx="4">
                  <c:v>0.20904835092341156</c:v>
                </c:pt>
                <c:pt idx="5">
                  <c:v>0.11769513132551279</c:v>
                </c:pt>
                <c:pt idx="6">
                  <c:v>9.1257007540784807E-2</c:v>
                </c:pt>
                <c:pt idx="7">
                  <c:v>0.24469124682048582</c:v>
                </c:pt>
                <c:pt idx="8">
                  <c:v>0.14990148033831652</c:v>
                </c:pt>
                <c:pt idx="9">
                  <c:v>0.14499999999999999</c:v>
                </c:pt>
                <c:pt idx="10">
                  <c:v>0.22500000000000001</c:v>
                </c:pt>
                <c:pt idx="11">
                  <c:v>0.14399999999999999</c:v>
                </c:pt>
                <c:pt idx="12">
                  <c:v>0.184</c:v>
                </c:pt>
                <c:pt idx="13">
                  <c:v>0.16200000000000001</c:v>
                </c:pt>
                <c:pt idx="14">
                  <c:v>0.16</c:v>
                </c:pt>
                <c:pt idx="15">
                  <c:v>3.7999999999999999E-2</c:v>
                </c:pt>
                <c:pt idx="16">
                  <c:v>0.13600000000000001</c:v>
                </c:pt>
                <c:pt idx="17">
                  <c:v>0.05</c:v>
                </c:pt>
                <c:pt idx="18" formatCode="0.00%">
                  <c:v>5.2999999999999999E-2</c:v>
                </c:pt>
                <c:pt idx="19" formatCode="0.00%">
                  <c:v>-7.3999999999999996E-2</c:v>
                </c:pt>
                <c:pt idx="20" formatCode="0.00%">
                  <c:v>-0.14099999999999999</c:v>
                </c:pt>
                <c:pt idx="21">
                  <c:v>-0.24199999999999999</c:v>
                </c:pt>
                <c:pt idx="22">
                  <c:v>-8.1000000000000003E-2</c:v>
                </c:pt>
                <c:pt idx="23" formatCode="0.00%">
                  <c:v>-0.13100000000000001</c:v>
                </c:pt>
                <c:pt idx="24" formatCode="0.00%">
                  <c:v>-0.23100000000000001</c:v>
                </c:pt>
                <c:pt idx="25" formatCode="0.00%">
                  <c:v>-0.20799999999999999</c:v>
                </c:pt>
                <c:pt idx="26">
                  <c:v>-0.18021009069561233</c:v>
                </c:pt>
                <c:pt idx="27">
                  <c:v>-0.11648985696000103</c:v>
                </c:pt>
              </c:numCache>
            </c:numRef>
          </c:val>
          <c:smooth val="0"/>
          <c:extLst>
            <c:ext xmlns:c16="http://schemas.microsoft.com/office/drawing/2014/chart" uri="{C3380CC4-5D6E-409C-BE32-E72D297353CC}">
              <c16:uniqueId val="{00000001-1512-494C-9744-DD56741A5746}"/>
            </c:ext>
          </c:extLst>
        </c:ser>
        <c:dLbls>
          <c:showLegendKey val="0"/>
          <c:showVal val="0"/>
          <c:showCatName val="0"/>
          <c:showSerName val="0"/>
          <c:showPercent val="0"/>
          <c:showBubbleSize val="0"/>
        </c:dLbls>
        <c:smooth val="0"/>
        <c:axId val="1164919200"/>
        <c:axId val="1164922528"/>
      </c:lineChart>
      <c:dateAx>
        <c:axId val="1164919200"/>
        <c:scaling>
          <c:orientation val="minMax"/>
        </c:scaling>
        <c:delete val="0"/>
        <c:axPos val="b"/>
        <c:numFmt formatCode="\Tmm\ yy" sourceLinked="0"/>
        <c:majorTickMark val="none"/>
        <c:minorTickMark val="none"/>
        <c:tickLblPos val="low"/>
        <c:spPr>
          <a:noFill/>
          <a:ln w="12700" cap="flat" cmpd="sng" algn="ctr">
            <a:solidFill>
              <a:schemeClr val="tx1">
                <a:lumMod val="95000"/>
                <a:lumOff val="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64922528"/>
        <c:crosses val="autoZero"/>
        <c:auto val="1"/>
        <c:lblOffset val="100"/>
        <c:baseTimeUnit val="months"/>
      </c:dateAx>
      <c:valAx>
        <c:axId val="1164922528"/>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164919200"/>
        <c:crosses val="autoZero"/>
        <c:crossBetween val="between"/>
      </c:valAx>
      <c:spPr>
        <a:noFill/>
        <a:ln>
          <a:noFill/>
        </a:ln>
        <a:effectLst/>
      </c:spPr>
    </c:plotArea>
    <c:legend>
      <c:legendPos val="b"/>
      <c:layout>
        <c:manualLayout>
          <c:xMode val="edge"/>
          <c:yMode val="edge"/>
          <c:x val="0.41846715183329347"/>
          <c:y val="0.20390075098648094"/>
          <c:w val="0.5757825000790564"/>
          <c:h val="0.1075189462932407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89044089596697E-2"/>
          <c:y val="3.2784299015699014E-2"/>
          <c:w val="0.89715943274743692"/>
          <c:h val="0.84720561404999817"/>
        </c:manualLayout>
      </c:layout>
      <c:lineChart>
        <c:grouping val="standard"/>
        <c:varyColors val="0"/>
        <c:ser>
          <c:idx val="0"/>
          <c:order val="0"/>
          <c:tx>
            <c:strRef>
              <c:f>Sheet1!$B$1</c:f>
              <c:strCache>
                <c:ptCount val="1"/>
                <c:pt idx="0">
                  <c:v>2022</c:v>
                </c:pt>
              </c:strCache>
            </c:strRef>
          </c:tx>
          <c:spPr>
            <a:ln w="28575" cap="rnd">
              <a:solidFill>
                <a:schemeClr val="accent1"/>
              </a:solidFill>
              <a:prstDash val="sysDash"/>
              <a:round/>
            </a:ln>
            <a:effectLst/>
          </c:spPr>
          <c:marker>
            <c:symbol val="none"/>
          </c:marker>
          <c:cat>
            <c:strRef>
              <c:f>Sheet1!$A$2:$A$9</c:f>
              <c:strCache>
                <c:ptCount val="8"/>
                <c:pt idx="0">
                  <c:v>T1</c:v>
                </c:pt>
                <c:pt idx="1">
                  <c:v>T2</c:v>
                </c:pt>
                <c:pt idx="2">
                  <c:v>T3</c:v>
                </c:pt>
                <c:pt idx="3">
                  <c:v>T4</c:v>
                </c:pt>
                <c:pt idx="4">
                  <c:v>T5</c:v>
                </c:pt>
                <c:pt idx="5">
                  <c:v>T6</c:v>
                </c:pt>
                <c:pt idx="6">
                  <c:v>T7</c:v>
                </c:pt>
                <c:pt idx="7">
                  <c:v>T8 (ước)</c:v>
                </c:pt>
              </c:strCache>
            </c:strRef>
          </c:cat>
          <c:val>
            <c:numRef>
              <c:f>Sheet1!$B$2:$B$9</c:f>
              <c:numCache>
                <c:formatCode>0.00%</c:formatCode>
                <c:ptCount val="8"/>
                <c:pt idx="0">
                  <c:v>4.3299999999999998E-2</c:v>
                </c:pt>
                <c:pt idx="1">
                  <c:v>6.6100000000000006E-2</c:v>
                </c:pt>
                <c:pt idx="2">
                  <c:v>0.115</c:v>
                </c:pt>
                <c:pt idx="3">
                  <c:v>0.1636</c:v>
                </c:pt>
                <c:pt idx="4">
                  <c:v>0.20319999999999999</c:v>
                </c:pt>
                <c:pt idx="5">
                  <c:v>0.27460000000000001</c:v>
                </c:pt>
                <c:pt idx="6">
                  <c:v>0.32800000000000001</c:v>
                </c:pt>
                <c:pt idx="7">
                  <c:v>0.39150000000000001</c:v>
                </c:pt>
              </c:numCache>
            </c:numRef>
          </c:val>
          <c:smooth val="0"/>
          <c:extLst>
            <c:ext xmlns:c16="http://schemas.microsoft.com/office/drawing/2014/chart" uri="{C3380CC4-5D6E-409C-BE32-E72D297353CC}">
              <c16:uniqueId val="{00000000-3D81-4BCE-841F-069657B91647}"/>
            </c:ext>
          </c:extLst>
        </c:ser>
        <c:ser>
          <c:idx val="1"/>
          <c:order val="1"/>
          <c:tx>
            <c:strRef>
              <c:f>Sheet1!$C$1</c:f>
              <c:strCache>
                <c:ptCount val="1"/>
                <c:pt idx="0">
                  <c:v>2023</c:v>
                </c:pt>
              </c:strCache>
            </c:strRef>
          </c:tx>
          <c:spPr>
            <a:ln w="28575" cap="rnd">
              <a:solidFill>
                <a:schemeClr val="accent2">
                  <a:lumMod val="75000"/>
                </a:schemeClr>
              </a:solidFill>
              <a:round/>
            </a:ln>
            <a:effectLst/>
          </c:spPr>
          <c:marker>
            <c:symbol val="none"/>
          </c:marker>
          <c:cat>
            <c:strRef>
              <c:f>Sheet1!$A$2:$A$9</c:f>
              <c:strCache>
                <c:ptCount val="8"/>
                <c:pt idx="0">
                  <c:v>T1</c:v>
                </c:pt>
                <c:pt idx="1">
                  <c:v>T2</c:v>
                </c:pt>
                <c:pt idx="2">
                  <c:v>T3</c:v>
                </c:pt>
                <c:pt idx="3">
                  <c:v>T4</c:v>
                </c:pt>
                <c:pt idx="4">
                  <c:v>T5</c:v>
                </c:pt>
                <c:pt idx="5">
                  <c:v>T6</c:v>
                </c:pt>
                <c:pt idx="6">
                  <c:v>T7</c:v>
                </c:pt>
                <c:pt idx="7">
                  <c:v>T8 (ước)</c:v>
                </c:pt>
              </c:strCache>
            </c:strRef>
          </c:cat>
          <c:val>
            <c:numRef>
              <c:f>Sheet1!$C$2:$C$9</c:f>
              <c:numCache>
                <c:formatCode>0.00%</c:formatCode>
                <c:ptCount val="8"/>
                <c:pt idx="0">
                  <c:v>3.6999999999999998E-2</c:v>
                </c:pt>
                <c:pt idx="1">
                  <c:v>5.6599999999999998E-2</c:v>
                </c:pt>
                <c:pt idx="2">
                  <c:v>0.10489999999999999</c:v>
                </c:pt>
                <c:pt idx="3">
                  <c:v>0.15629999999999999</c:v>
                </c:pt>
                <c:pt idx="4">
                  <c:v>0.2157</c:v>
                </c:pt>
                <c:pt idx="5">
                  <c:v>0.3014</c:v>
                </c:pt>
                <c:pt idx="6">
                  <c:v>0.35830000000000001</c:v>
                </c:pt>
                <c:pt idx="7">
                  <c:v>0.42349999999999999</c:v>
                </c:pt>
              </c:numCache>
            </c:numRef>
          </c:val>
          <c:smooth val="0"/>
          <c:extLst>
            <c:ext xmlns:c16="http://schemas.microsoft.com/office/drawing/2014/chart" uri="{C3380CC4-5D6E-409C-BE32-E72D297353CC}">
              <c16:uniqueId val="{00000001-3D81-4BCE-841F-069657B91647}"/>
            </c:ext>
          </c:extLst>
        </c:ser>
        <c:dLbls>
          <c:showLegendKey val="0"/>
          <c:showVal val="0"/>
          <c:showCatName val="0"/>
          <c:showSerName val="0"/>
          <c:showPercent val="0"/>
          <c:showBubbleSize val="0"/>
        </c:dLbls>
        <c:smooth val="0"/>
        <c:axId val="1586854495"/>
        <c:axId val="1491010303"/>
      </c:lineChart>
      <c:catAx>
        <c:axId val="158685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491010303"/>
        <c:crosses val="autoZero"/>
        <c:auto val="1"/>
        <c:lblAlgn val="ctr"/>
        <c:lblOffset val="100"/>
        <c:noMultiLvlLbl val="0"/>
      </c:catAx>
      <c:valAx>
        <c:axId val="14910103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86854495"/>
        <c:crosses val="autoZero"/>
        <c:crossBetween val="between"/>
      </c:valAx>
      <c:spPr>
        <a:noFill/>
        <a:ln>
          <a:noFill/>
        </a:ln>
        <a:effectLst/>
      </c:spPr>
    </c:plotArea>
    <c:legend>
      <c:legendPos val="b"/>
      <c:layout>
        <c:manualLayout>
          <c:xMode val="edge"/>
          <c:yMode val="edge"/>
          <c:x val="0.58781627346780918"/>
          <c:y val="0.57780475642331963"/>
          <c:w val="0.2622991084557223"/>
          <c:h val="0.10610641079994561"/>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038936429373873E-2"/>
          <c:y val="7.7195637794909969E-2"/>
          <c:w val="0.90290864965198125"/>
          <c:h val="0.72680744659252727"/>
        </c:manualLayout>
      </c:layout>
      <c:barChart>
        <c:barDir val="col"/>
        <c:grouping val="clustered"/>
        <c:varyColors val="0"/>
        <c:ser>
          <c:idx val="0"/>
          <c:order val="0"/>
          <c:tx>
            <c:strRef>
              <c:f>Sheet1!$B$1</c:f>
              <c:strCache>
                <c:ptCount val="1"/>
                <c:pt idx="0">
                  <c:v>2022</c:v>
                </c:pt>
              </c:strCache>
            </c:strRef>
          </c:tx>
          <c:spPr>
            <a:solidFill>
              <a:schemeClr val="accent1">
                <a:lumMod val="40000"/>
                <a:lumOff val="60000"/>
              </a:schemeClr>
            </a:solidFill>
            <a:ln>
              <a:noFill/>
            </a:ln>
            <a:effectLst/>
          </c:spPr>
          <c:invertIfNegative val="0"/>
          <c:cat>
            <c:strRef>
              <c:f>Sheet1!$A$2:$A$14</c:f>
              <c:strCache>
                <c:ptCount val="13"/>
                <c:pt idx="0">
                  <c:v>T1</c:v>
                </c:pt>
                <c:pt idx="1">
                  <c:v>T2</c:v>
                </c:pt>
                <c:pt idx="2">
                  <c:v>T3</c:v>
                </c:pt>
                <c:pt idx="3">
                  <c:v>T4</c:v>
                </c:pt>
                <c:pt idx="4">
                  <c:v>T5</c:v>
                </c:pt>
                <c:pt idx="5">
                  <c:v>T6</c:v>
                </c:pt>
                <c:pt idx="6">
                  <c:v>T7</c:v>
                </c:pt>
                <c:pt idx="7">
                  <c:v>T8</c:v>
                </c:pt>
                <c:pt idx="8">
                  <c:v>T9</c:v>
                </c:pt>
                <c:pt idx="9">
                  <c:v>T10</c:v>
                </c:pt>
                <c:pt idx="10">
                  <c:v>T11</c:v>
                </c:pt>
                <c:pt idx="11">
                  <c:v>T12</c:v>
                </c:pt>
                <c:pt idx="12">
                  <c:v>T13</c:v>
                </c:pt>
              </c:strCache>
            </c:strRef>
          </c:cat>
          <c:val>
            <c:numRef>
              <c:f>Sheet1!$B$2:$B$14</c:f>
              <c:numCache>
                <c:formatCode>#,##0.00</c:formatCode>
                <c:ptCount val="13"/>
                <c:pt idx="0">
                  <c:v>0.95510297872340422</c:v>
                </c:pt>
                <c:pt idx="1">
                  <c:v>1.4570612765957447</c:v>
                </c:pt>
                <c:pt idx="2">
                  <c:v>2.5358978723404255</c:v>
                </c:pt>
                <c:pt idx="3">
                  <c:v>3.6070238297872339</c:v>
                </c:pt>
                <c:pt idx="4">
                  <c:v>4.686412340425532</c:v>
                </c:pt>
                <c:pt idx="5">
                  <c:v>6.333448085106383</c:v>
                </c:pt>
                <c:pt idx="6">
                  <c:v>7.56713829787234</c:v>
                </c:pt>
                <c:pt idx="7">
                  <c:v>8.9080629787234056</c:v>
                </c:pt>
                <c:pt idx="8">
                  <c:v>10.608072765957447</c:v>
                </c:pt>
                <c:pt idx="9">
                  <c:v>12.077831914893617</c:v>
                </c:pt>
                <c:pt idx="10">
                  <c:v>14.433554893617021</c:v>
                </c:pt>
                <c:pt idx="11">
                  <c:v>19.656956595744681</c:v>
                </c:pt>
                <c:pt idx="12">
                  <c:v>22.947936595744682</c:v>
                </c:pt>
              </c:numCache>
            </c:numRef>
          </c:val>
          <c:extLst>
            <c:ext xmlns:c16="http://schemas.microsoft.com/office/drawing/2014/chart" uri="{C3380CC4-5D6E-409C-BE32-E72D297353CC}">
              <c16:uniqueId val="{00000000-D613-448B-84F3-DD00E5464D74}"/>
            </c:ext>
          </c:extLst>
        </c:ser>
        <c:ser>
          <c:idx val="1"/>
          <c:order val="1"/>
          <c:tx>
            <c:strRef>
              <c:f>Sheet1!$C$1</c:f>
              <c:strCache>
                <c:ptCount val="1"/>
                <c:pt idx="0">
                  <c:v>2023</c:v>
                </c:pt>
              </c:strCache>
            </c:strRef>
          </c:tx>
          <c:spPr>
            <a:solidFill>
              <a:schemeClr val="accent1">
                <a:lumMod val="75000"/>
              </a:schemeClr>
            </a:solidFill>
            <a:ln>
              <a:noFill/>
            </a:ln>
            <a:effectLst/>
          </c:spPr>
          <c:invertIfNegative val="0"/>
          <c:cat>
            <c:strRef>
              <c:f>Sheet1!$A$2:$A$14</c:f>
              <c:strCache>
                <c:ptCount val="13"/>
                <c:pt idx="0">
                  <c:v>T1</c:v>
                </c:pt>
                <c:pt idx="1">
                  <c:v>T2</c:v>
                </c:pt>
                <c:pt idx="2">
                  <c:v>T3</c:v>
                </c:pt>
                <c:pt idx="3">
                  <c:v>T4</c:v>
                </c:pt>
                <c:pt idx="4">
                  <c:v>T5</c:v>
                </c:pt>
                <c:pt idx="5">
                  <c:v>T6</c:v>
                </c:pt>
                <c:pt idx="6">
                  <c:v>T7</c:v>
                </c:pt>
                <c:pt idx="7">
                  <c:v>T8</c:v>
                </c:pt>
                <c:pt idx="8">
                  <c:v>T9</c:v>
                </c:pt>
                <c:pt idx="9">
                  <c:v>T10</c:v>
                </c:pt>
                <c:pt idx="10">
                  <c:v>T11</c:v>
                </c:pt>
                <c:pt idx="11">
                  <c:v>T12</c:v>
                </c:pt>
                <c:pt idx="12">
                  <c:v>T13</c:v>
                </c:pt>
              </c:strCache>
            </c:strRef>
          </c:cat>
          <c:val>
            <c:numRef>
              <c:f>Sheet1!$C$2:$C$14</c:f>
              <c:numCache>
                <c:formatCode>General</c:formatCode>
                <c:ptCount val="13"/>
                <c:pt idx="0">
                  <c:v>1.1100000000000001</c:v>
                </c:pt>
                <c:pt idx="1">
                  <c:v>1.7</c:v>
                </c:pt>
                <c:pt idx="2">
                  <c:v>3.15</c:v>
                </c:pt>
                <c:pt idx="3">
                  <c:v>4.7</c:v>
                </c:pt>
                <c:pt idx="4">
                  <c:v>6.49</c:v>
                </c:pt>
                <c:pt idx="5">
                  <c:v>9.07</c:v>
                </c:pt>
                <c:pt idx="6">
                  <c:v>10.78</c:v>
                </c:pt>
                <c:pt idx="7">
                  <c:v>12.74</c:v>
                </c:pt>
              </c:numCache>
            </c:numRef>
          </c:val>
          <c:extLst>
            <c:ext xmlns:c16="http://schemas.microsoft.com/office/drawing/2014/chart" uri="{C3380CC4-5D6E-409C-BE32-E72D297353CC}">
              <c16:uniqueId val="{00000001-D613-448B-84F3-DD00E5464D74}"/>
            </c:ext>
          </c:extLst>
        </c:ser>
        <c:dLbls>
          <c:showLegendKey val="0"/>
          <c:showVal val="0"/>
          <c:showCatName val="0"/>
          <c:showSerName val="0"/>
          <c:showPercent val="0"/>
          <c:showBubbleSize val="0"/>
        </c:dLbls>
        <c:gapWidth val="150"/>
        <c:axId val="1586855423"/>
        <c:axId val="1509602223"/>
      </c:barChart>
      <c:lineChart>
        <c:grouping val="standard"/>
        <c:varyColors val="0"/>
        <c:ser>
          <c:idx val="2"/>
          <c:order val="2"/>
          <c:tx>
            <c:strRef>
              <c:f>Sheet1!$D$1</c:f>
              <c:strCache>
                <c:ptCount val="1"/>
                <c:pt idx="0">
                  <c:v>NS 2022</c:v>
                </c:pt>
              </c:strCache>
            </c:strRef>
          </c:tx>
          <c:spPr>
            <a:ln w="31750" cap="rnd">
              <a:solidFill>
                <a:schemeClr val="tx2">
                  <a:lumMod val="40000"/>
                  <a:lumOff val="60000"/>
                </a:schemeClr>
              </a:solidFill>
              <a:round/>
            </a:ln>
            <a:effectLst/>
          </c:spPr>
          <c:marker>
            <c:symbol val="none"/>
          </c:marker>
          <c:cat>
            <c:strRef>
              <c:f>Sheet1!$A$2:$A$14</c:f>
              <c:strCache>
                <c:ptCount val="13"/>
                <c:pt idx="0">
                  <c:v>T1</c:v>
                </c:pt>
                <c:pt idx="1">
                  <c:v>T2</c:v>
                </c:pt>
                <c:pt idx="2">
                  <c:v>T3</c:v>
                </c:pt>
                <c:pt idx="3">
                  <c:v>T4</c:v>
                </c:pt>
                <c:pt idx="4">
                  <c:v>T5</c:v>
                </c:pt>
                <c:pt idx="5">
                  <c:v>T6</c:v>
                </c:pt>
                <c:pt idx="6">
                  <c:v>T7</c:v>
                </c:pt>
                <c:pt idx="7">
                  <c:v>T8</c:v>
                </c:pt>
                <c:pt idx="8">
                  <c:v>T9</c:v>
                </c:pt>
                <c:pt idx="9">
                  <c:v>T10</c:v>
                </c:pt>
                <c:pt idx="10">
                  <c:v>T11</c:v>
                </c:pt>
                <c:pt idx="11">
                  <c:v>T12</c:v>
                </c:pt>
                <c:pt idx="12">
                  <c:v>T13</c:v>
                </c:pt>
              </c:strCache>
            </c:strRef>
          </c:cat>
          <c:val>
            <c:numRef>
              <c:f>Sheet1!$D$2:$D$14</c:f>
              <c:numCache>
                <c:formatCode>#,##0.00</c:formatCode>
                <c:ptCount val="13"/>
                <c:pt idx="0">
                  <c:v>24.682844000000003</c:v>
                </c:pt>
                <c:pt idx="1">
                  <c:v>24.682844000000003</c:v>
                </c:pt>
                <c:pt idx="2">
                  <c:v>24.682844000000003</c:v>
                </c:pt>
                <c:pt idx="3">
                  <c:v>24.682844000000003</c:v>
                </c:pt>
                <c:pt idx="4">
                  <c:v>24.682844000000003</c:v>
                </c:pt>
                <c:pt idx="5">
                  <c:v>24.682844000000003</c:v>
                </c:pt>
                <c:pt idx="6">
                  <c:v>24.682844000000003</c:v>
                </c:pt>
                <c:pt idx="7">
                  <c:v>24.682844000000003</c:v>
                </c:pt>
                <c:pt idx="8">
                  <c:v>24.682844000000003</c:v>
                </c:pt>
                <c:pt idx="9">
                  <c:v>24.682844000000003</c:v>
                </c:pt>
                <c:pt idx="10">
                  <c:v>24.682844000000003</c:v>
                </c:pt>
                <c:pt idx="11">
                  <c:v>24.682844000000003</c:v>
                </c:pt>
                <c:pt idx="12">
                  <c:v>24.682844000000003</c:v>
                </c:pt>
              </c:numCache>
            </c:numRef>
          </c:val>
          <c:smooth val="0"/>
          <c:extLst>
            <c:ext xmlns:c16="http://schemas.microsoft.com/office/drawing/2014/chart" uri="{C3380CC4-5D6E-409C-BE32-E72D297353CC}">
              <c16:uniqueId val="{00000002-D613-448B-84F3-DD00E5464D74}"/>
            </c:ext>
          </c:extLst>
        </c:ser>
        <c:ser>
          <c:idx val="3"/>
          <c:order val="3"/>
          <c:tx>
            <c:strRef>
              <c:f>Sheet1!$E$1</c:f>
              <c:strCache>
                <c:ptCount val="1"/>
                <c:pt idx="0">
                  <c:v>NS 2023</c:v>
                </c:pt>
              </c:strCache>
            </c:strRef>
          </c:tx>
          <c:spPr>
            <a:ln w="38100" cap="rnd">
              <a:solidFill>
                <a:schemeClr val="accent1">
                  <a:lumMod val="75000"/>
                </a:schemeClr>
              </a:solidFill>
              <a:round/>
            </a:ln>
            <a:effectLst/>
          </c:spPr>
          <c:marker>
            <c:symbol val="none"/>
          </c:marker>
          <c:cat>
            <c:strRef>
              <c:f>Sheet1!$A$2:$A$14</c:f>
              <c:strCache>
                <c:ptCount val="13"/>
                <c:pt idx="0">
                  <c:v>T1</c:v>
                </c:pt>
                <c:pt idx="1">
                  <c:v>T2</c:v>
                </c:pt>
                <c:pt idx="2">
                  <c:v>T3</c:v>
                </c:pt>
                <c:pt idx="3">
                  <c:v>T4</c:v>
                </c:pt>
                <c:pt idx="4">
                  <c:v>T5</c:v>
                </c:pt>
                <c:pt idx="5">
                  <c:v>T6</c:v>
                </c:pt>
                <c:pt idx="6">
                  <c:v>T7</c:v>
                </c:pt>
                <c:pt idx="7">
                  <c:v>T8</c:v>
                </c:pt>
                <c:pt idx="8">
                  <c:v>T9</c:v>
                </c:pt>
                <c:pt idx="9">
                  <c:v>T10</c:v>
                </c:pt>
                <c:pt idx="10">
                  <c:v>T11</c:v>
                </c:pt>
                <c:pt idx="11">
                  <c:v>T12</c:v>
                </c:pt>
                <c:pt idx="12">
                  <c:v>T13</c:v>
                </c:pt>
              </c:strCache>
            </c:strRef>
          </c:cat>
          <c:val>
            <c:numRef>
              <c:f>Sheet1!$E$2:$E$14</c:f>
              <c:numCache>
                <c:formatCode>General</c:formatCode>
                <c:ptCount val="13"/>
                <c:pt idx="0">
                  <c:v>30</c:v>
                </c:pt>
                <c:pt idx="1">
                  <c:v>30</c:v>
                </c:pt>
                <c:pt idx="2">
                  <c:v>30</c:v>
                </c:pt>
                <c:pt idx="3">
                  <c:v>30</c:v>
                </c:pt>
                <c:pt idx="4">
                  <c:v>30</c:v>
                </c:pt>
                <c:pt idx="5">
                  <c:v>30</c:v>
                </c:pt>
                <c:pt idx="6">
                  <c:v>30</c:v>
                </c:pt>
                <c:pt idx="7">
                  <c:v>30</c:v>
                </c:pt>
                <c:pt idx="8">
                  <c:v>30</c:v>
                </c:pt>
                <c:pt idx="9">
                  <c:v>30</c:v>
                </c:pt>
                <c:pt idx="10">
                  <c:v>30</c:v>
                </c:pt>
                <c:pt idx="11">
                  <c:v>30</c:v>
                </c:pt>
                <c:pt idx="12">
                  <c:v>30</c:v>
                </c:pt>
              </c:numCache>
            </c:numRef>
          </c:val>
          <c:smooth val="0"/>
          <c:extLst>
            <c:ext xmlns:c16="http://schemas.microsoft.com/office/drawing/2014/chart" uri="{C3380CC4-5D6E-409C-BE32-E72D297353CC}">
              <c16:uniqueId val="{00000003-D613-448B-84F3-DD00E5464D74}"/>
            </c:ext>
          </c:extLst>
        </c:ser>
        <c:dLbls>
          <c:showLegendKey val="0"/>
          <c:showVal val="0"/>
          <c:showCatName val="0"/>
          <c:showSerName val="0"/>
          <c:showPercent val="0"/>
          <c:showBubbleSize val="0"/>
        </c:dLbls>
        <c:marker val="1"/>
        <c:smooth val="0"/>
        <c:axId val="1586855423"/>
        <c:axId val="1509602223"/>
      </c:lineChart>
      <c:catAx>
        <c:axId val="1586855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509602223"/>
        <c:crosses val="autoZero"/>
        <c:auto val="1"/>
        <c:lblAlgn val="ctr"/>
        <c:lblOffset val="100"/>
        <c:noMultiLvlLbl val="0"/>
      </c:catAx>
      <c:valAx>
        <c:axId val="1509602223"/>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586855423"/>
        <c:crosses val="autoZero"/>
        <c:crossBetween val="between"/>
      </c:valAx>
      <c:spPr>
        <a:noFill/>
        <a:ln>
          <a:noFill/>
        </a:ln>
        <a:effectLst/>
      </c:spPr>
    </c:plotArea>
    <c:legend>
      <c:legendPos val="r"/>
      <c:layout>
        <c:manualLayout>
          <c:xMode val="edge"/>
          <c:yMode val="edge"/>
          <c:x val="0.16164427537753365"/>
          <c:y val="0.27861267020213148"/>
          <c:w val="0.45779778410190541"/>
          <c:h val="0.24048657819104816"/>
        </c:manualLayout>
      </c:layout>
      <c:overlay val="0"/>
      <c:spPr>
        <a:noFill/>
        <a:ln>
          <a:noFill/>
        </a:ln>
        <a:effectLst/>
      </c:spPr>
      <c:txPr>
        <a:bodyPr rot="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2017</c:v>
                </c:pt>
                <c:pt idx="1">
                  <c:v>2018</c:v>
                </c:pt>
                <c:pt idx="2">
                  <c:v>2019</c:v>
                </c:pt>
                <c:pt idx="3">
                  <c:v>2020</c:v>
                </c:pt>
                <c:pt idx="4">
                  <c:v>2021</c:v>
                </c:pt>
                <c:pt idx="5">
                  <c:v>2022</c:v>
                </c:pt>
                <c:pt idx="6">
                  <c:v>2023-6T</c:v>
                </c:pt>
              </c:strCache>
            </c:strRef>
          </c:cat>
          <c:val>
            <c:numRef>
              <c:f>Sheet1!$B$2:$B$8</c:f>
              <c:numCache>
                <c:formatCode>General</c:formatCode>
                <c:ptCount val="7"/>
                <c:pt idx="0">
                  <c:v>1.3</c:v>
                </c:pt>
                <c:pt idx="1">
                  <c:v>1.3</c:v>
                </c:pt>
                <c:pt idx="2">
                  <c:v>1.24</c:v>
                </c:pt>
                <c:pt idx="3">
                  <c:v>1.07</c:v>
                </c:pt>
                <c:pt idx="4">
                  <c:v>1.42</c:v>
                </c:pt>
                <c:pt idx="5">
                  <c:v>0.88</c:v>
                </c:pt>
                <c:pt idx="6">
                  <c:v>0.49</c:v>
                </c:pt>
              </c:numCache>
            </c:numRef>
          </c:val>
          <c:extLst>
            <c:ext xmlns:c16="http://schemas.microsoft.com/office/drawing/2014/chart" uri="{C3380CC4-5D6E-409C-BE32-E72D297353CC}">
              <c16:uniqueId val="{00000000-A5DA-46DC-9763-AC82B54CDDF8}"/>
            </c:ext>
          </c:extLst>
        </c:ser>
        <c:dLbls>
          <c:showLegendKey val="0"/>
          <c:showVal val="0"/>
          <c:showCatName val="0"/>
          <c:showSerName val="0"/>
          <c:showPercent val="0"/>
          <c:showBubbleSize val="0"/>
        </c:dLbls>
        <c:gapWidth val="219"/>
        <c:overlap val="-27"/>
        <c:axId val="24248527"/>
        <c:axId val="24249487"/>
      </c:barChart>
      <c:catAx>
        <c:axId val="24248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4249487"/>
        <c:crosses val="autoZero"/>
        <c:auto val="1"/>
        <c:lblAlgn val="ctr"/>
        <c:lblOffset val="100"/>
        <c:noMultiLvlLbl val="0"/>
      </c:catAx>
      <c:valAx>
        <c:axId val="24249487"/>
        <c:scaling>
          <c:orientation val="minMax"/>
        </c:scaling>
        <c:delete val="1"/>
        <c:axPos val="l"/>
        <c:numFmt formatCode="General" sourceLinked="1"/>
        <c:majorTickMark val="none"/>
        <c:minorTickMark val="none"/>
        <c:tickLblPos val="nextTo"/>
        <c:crossAx val="24248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9</Pages>
  <Words>2547</Words>
  <Characters>14520</Characters>
  <Application>Microsoft Office Word</Application>
  <DocSecurity>0</DocSecurity>
  <Lines>121</Lines>
  <Paragraphs>34</Paragraphs>
  <ScaleCrop>false</ScaleCrop>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Nguyen Xuan Thanh</cp:lastModifiedBy>
  <cp:revision>152</cp:revision>
  <dcterms:created xsi:type="dcterms:W3CDTF">2023-09-15T01:06:00Z</dcterms:created>
  <dcterms:modified xsi:type="dcterms:W3CDTF">2023-09-15T04:58:00Z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17ed1e-11a1-41d7-8b96-bb3dd8f99fc4_Enabled">
    <vt:lpwstr>true</vt:lpwstr>
  </property>
  <property fmtid="{D5CDD505-2E9C-101B-9397-08002B2CF9AE}" pid="3" name="MSIP_Label_1317ed1e-11a1-41d7-8b96-bb3dd8f99fc4_SetDate">
    <vt:lpwstr>2023-09-15T01:33:41Z</vt:lpwstr>
  </property>
  <property fmtid="{D5CDD505-2E9C-101B-9397-08002B2CF9AE}" pid="4" name="MSIP_Label_1317ed1e-11a1-41d7-8b96-bb3dd8f99fc4_Method">
    <vt:lpwstr>Privileged</vt:lpwstr>
  </property>
  <property fmtid="{D5CDD505-2E9C-101B-9397-08002B2CF9AE}" pid="5" name="MSIP_Label_1317ed1e-11a1-41d7-8b96-bb3dd8f99fc4_Name">
    <vt:lpwstr>Public</vt:lpwstr>
  </property>
  <property fmtid="{D5CDD505-2E9C-101B-9397-08002B2CF9AE}" pid="6" name="MSIP_Label_1317ed1e-11a1-41d7-8b96-bb3dd8f99fc4_SiteId">
    <vt:lpwstr>ee63425f-af72-4a58-82e7-e451cc92646a</vt:lpwstr>
  </property>
  <property fmtid="{D5CDD505-2E9C-101B-9397-08002B2CF9AE}" pid="7" name="MSIP_Label_1317ed1e-11a1-41d7-8b96-bb3dd8f99fc4_ActionId">
    <vt:lpwstr>ac4c1c53-8e3b-43b4-a80b-0c99f3f06fdd</vt:lpwstr>
  </property>
  <property fmtid="{D5CDD505-2E9C-101B-9397-08002B2CF9AE}" pid="8" name="MSIP_Label_1317ed1e-11a1-41d7-8b96-bb3dd8f99fc4_ContentBits">
    <vt:lpwstr>0</vt:lpwstr>
  </property>
</Properties>
</file>